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Look w:val="04A0" w:firstRow="1" w:lastRow="0" w:firstColumn="1" w:lastColumn="0" w:noHBand="0" w:noVBand="1"/>
      </w:tblPr>
      <w:tblGrid>
        <w:gridCol w:w="8389"/>
      </w:tblGrid>
      <w:tr w:rsidR="0025020E" w:rsidRPr="0025020E" w:rsidTr="00D673CB">
        <w:tc>
          <w:tcPr>
            <w:tcW w:w="7672" w:type="dxa"/>
            <w:tcMar>
              <w:top w:w="216" w:type="dxa"/>
              <w:left w:w="115" w:type="dxa"/>
              <w:bottom w:w="216" w:type="dxa"/>
              <w:right w:w="115" w:type="dxa"/>
            </w:tcMar>
          </w:tcPr>
          <w:p w:rsidR="006E229D" w:rsidRPr="0025020E" w:rsidRDefault="006E229D" w:rsidP="006E229D">
            <w:pPr>
              <w:pStyle w:val="NoSpacing"/>
              <w:rPr>
                <w:rFonts w:ascii="Arial" w:eastAsia="Times New Roman" w:hAnsi="Arial"/>
                <w:b/>
                <w:color w:val="548DD4" w:themeColor="text2" w:themeTint="99"/>
                <w:sz w:val="24"/>
                <w:szCs w:val="24"/>
              </w:rPr>
            </w:pPr>
            <w:r w:rsidRPr="0025020E">
              <w:rPr>
                <w:rFonts w:ascii="Arial" w:hAnsi="Arial"/>
                <w:b/>
                <w:color w:val="548DD4" w:themeColor="text2" w:themeTint="99"/>
                <w:sz w:val="44"/>
                <w:szCs w:val="24"/>
              </w:rPr>
              <w:t xml:space="preserve">Housing Services Local Letting Plan  </w:t>
            </w:r>
          </w:p>
        </w:tc>
      </w:tr>
      <w:tr w:rsidR="0025020E" w:rsidRPr="0025020E" w:rsidTr="00D673CB">
        <w:tc>
          <w:tcPr>
            <w:tcW w:w="7672" w:type="dxa"/>
          </w:tcPr>
          <w:p w:rsidR="006E229D" w:rsidRPr="0025020E" w:rsidRDefault="000F1BF9" w:rsidP="0025020E">
            <w:pPr>
              <w:pStyle w:val="NoSpacing"/>
              <w:rPr>
                <w:rFonts w:ascii="Arial" w:eastAsia="Times New Roman" w:hAnsi="Arial"/>
                <w:color w:val="548DD4" w:themeColor="text2" w:themeTint="99"/>
                <w:sz w:val="24"/>
                <w:szCs w:val="24"/>
              </w:rPr>
            </w:pPr>
            <w:r w:rsidRPr="0025020E">
              <w:rPr>
                <w:rFonts w:ascii="Arial" w:hAnsi="Arial"/>
                <w:color w:val="548DD4" w:themeColor="text2" w:themeTint="99"/>
                <w:sz w:val="40"/>
                <w:szCs w:val="24"/>
                <w:lang w:val="en-GB"/>
              </w:rPr>
              <w:t>Somerdale, Keynsham</w:t>
            </w:r>
            <w:r w:rsidR="00C2150F" w:rsidRPr="0025020E">
              <w:rPr>
                <w:rFonts w:ascii="Arial" w:hAnsi="Arial"/>
                <w:color w:val="548DD4" w:themeColor="text2" w:themeTint="99"/>
                <w:sz w:val="40"/>
                <w:szCs w:val="24"/>
                <w:lang w:val="en-GB"/>
              </w:rPr>
              <w:t xml:space="preserve"> </w:t>
            </w:r>
          </w:p>
        </w:tc>
      </w:tr>
      <w:tr w:rsidR="0025020E" w:rsidRPr="0025020E" w:rsidTr="00D673CB">
        <w:trPr>
          <w:trHeight w:val="1646"/>
        </w:trPr>
        <w:tc>
          <w:tcPr>
            <w:tcW w:w="7672" w:type="dxa"/>
            <w:tcMar>
              <w:top w:w="216" w:type="dxa"/>
              <w:left w:w="115" w:type="dxa"/>
              <w:bottom w:w="216" w:type="dxa"/>
              <w:right w:w="115" w:type="dxa"/>
            </w:tcMar>
          </w:tcPr>
          <w:p w:rsidR="006E229D" w:rsidRPr="0025020E" w:rsidRDefault="006E229D" w:rsidP="00686FC0">
            <w:pPr>
              <w:pStyle w:val="NoSpacing"/>
              <w:rPr>
                <w:rFonts w:ascii="Arial" w:eastAsia="Times New Roman" w:hAnsi="Arial"/>
                <w:color w:val="548DD4" w:themeColor="text2" w:themeTint="99"/>
                <w:sz w:val="24"/>
                <w:szCs w:val="24"/>
              </w:rPr>
            </w:pPr>
            <w:r w:rsidRPr="0025020E">
              <w:rPr>
                <w:rFonts w:ascii="Arial" w:hAnsi="Arial"/>
                <w:color w:val="548DD4" w:themeColor="text2" w:themeTint="99"/>
                <w:sz w:val="28"/>
                <w:szCs w:val="24"/>
              </w:rPr>
              <w:t xml:space="preserve">A local letting </w:t>
            </w:r>
            <w:r w:rsidR="008C4950" w:rsidRPr="0025020E">
              <w:rPr>
                <w:rFonts w:ascii="Arial" w:hAnsi="Arial"/>
                <w:color w:val="548DD4" w:themeColor="text2" w:themeTint="99"/>
                <w:sz w:val="28"/>
                <w:szCs w:val="24"/>
              </w:rPr>
              <w:t>plan</w:t>
            </w:r>
            <w:r w:rsidRPr="0025020E">
              <w:rPr>
                <w:rFonts w:ascii="Arial" w:hAnsi="Arial"/>
                <w:color w:val="548DD4" w:themeColor="text2" w:themeTint="99"/>
                <w:sz w:val="28"/>
                <w:szCs w:val="24"/>
              </w:rPr>
              <w:t xml:space="preserve"> is an agreement between </w:t>
            </w:r>
            <w:r w:rsidR="00640CAB" w:rsidRPr="0025020E">
              <w:rPr>
                <w:rFonts w:ascii="Arial" w:hAnsi="Arial"/>
                <w:color w:val="548DD4" w:themeColor="text2" w:themeTint="99"/>
                <w:sz w:val="28"/>
                <w:szCs w:val="24"/>
              </w:rPr>
              <w:t>Housing Services</w:t>
            </w:r>
            <w:r w:rsidRPr="0025020E">
              <w:rPr>
                <w:rFonts w:ascii="Arial" w:hAnsi="Arial"/>
                <w:color w:val="548DD4" w:themeColor="text2" w:themeTint="99"/>
                <w:sz w:val="28"/>
                <w:szCs w:val="24"/>
              </w:rPr>
              <w:t xml:space="preserve"> and a </w:t>
            </w:r>
            <w:r w:rsidR="008C4950" w:rsidRPr="0025020E">
              <w:rPr>
                <w:rFonts w:ascii="Arial" w:hAnsi="Arial"/>
                <w:color w:val="548DD4" w:themeColor="text2" w:themeTint="99"/>
                <w:sz w:val="28"/>
                <w:szCs w:val="24"/>
              </w:rPr>
              <w:t>housing</w:t>
            </w:r>
            <w:r w:rsidRPr="0025020E">
              <w:rPr>
                <w:rFonts w:ascii="Arial" w:hAnsi="Arial"/>
                <w:color w:val="548DD4" w:themeColor="text2" w:themeTint="99"/>
                <w:sz w:val="28"/>
                <w:szCs w:val="24"/>
              </w:rPr>
              <w:t xml:space="preserve"> provider.  It decides how properties will be allocated in certain defined geographical areas.  Local lettings </w:t>
            </w:r>
            <w:r w:rsidR="008C4950" w:rsidRPr="0025020E">
              <w:rPr>
                <w:rFonts w:ascii="Arial" w:hAnsi="Arial"/>
                <w:color w:val="548DD4" w:themeColor="text2" w:themeTint="99"/>
                <w:sz w:val="28"/>
                <w:szCs w:val="24"/>
              </w:rPr>
              <w:t>plans</w:t>
            </w:r>
            <w:r w:rsidRPr="0025020E">
              <w:rPr>
                <w:rFonts w:ascii="Arial" w:hAnsi="Arial"/>
                <w:color w:val="548DD4" w:themeColor="text2" w:themeTint="99"/>
                <w:sz w:val="28"/>
                <w:szCs w:val="24"/>
              </w:rPr>
              <w:t xml:space="preserve"> will only be used in exceptional circumstances to meet specific local issues within an area.  </w:t>
            </w:r>
          </w:p>
        </w:tc>
      </w:tr>
    </w:tbl>
    <w:p w:rsidR="006E229D" w:rsidRPr="0025020E" w:rsidRDefault="006E229D">
      <w:pPr>
        <w:rPr>
          <w:rFonts w:cs="Arial"/>
          <w:color w:val="548DD4" w:themeColor="text2" w:themeTint="99"/>
        </w:rPr>
      </w:pPr>
      <w:bookmarkStart w:id="0" w:name="_GoBack"/>
      <w:bookmarkEnd w:id="0"/>
    </w:p>
    <w:p w:rsidR="006E229D" w:rsidRPr="0025020E" w:rsidRDefault="006E229D">
      <w:pPr>
        <w:rPr>
          <w:rFonts w:cs="Arial"/>
          <w:color w:val="548DD4" w:themeColor="text2" w:themeTint="99"/>
        </w:rPr>
      </w:pPr>
    </w:p>
    <w:p w:rsidR="006E229D" w:rsidRPr="0025020E" w:rsidRDefault="006E229D">
      <w:pPr>
        <w:rPr>
          <w:rFonts w:cs="Arial"/>
          <w:color w:val="548DD4" w:themeColor="text2" w:themeTint="99"/>
        </w:rPr>
      </w:pPr>
    </w:p>
    <w:tbl>
      <w:tblPr>
        <w:tblpPr w:leftFromText="187" w:rightFromText="187" w:vertAnchor="page" w:horzAnchor="margin" w:tblpXSpec="center" w:tblpY="7772"/>
        <w:tblW w:w="4000" w:type="pct"/>
        <w:tblLook w:val="04A0" w:firstRow="1" w:lastRow="0" w:firstColumn="1" w:lastColumn="0" w:noHBand="0" w:noVBand="1"/>
      </w:tblPr>
      <w:tblGrid>
        <w:gridCol w:w="8389"/>
      </w:tblGrid>
      <w:tr w:rsidR="0025020E" w:rsidRPr="0025020E" w:rsidTr="00D673CB">
        <w:tc>
          <w:tcPr>
            <w:tcW w:w="8389" w:type="dxa"/>
            <w:tcMar>
              <w:top w:w="216" w:type="dxa"/>
              <w:left w:w="115" w:type="dxa"/>
              <w:bottom w:w="216" w:type="dxa"/>
              <w:right w:w="115" w:type="dxa"/>
            </w:tcMar>
          </w:tcPr>
          <w:p w:rsidR="006E229D" w:rsidRPr="0025020E" w:rsidRDefault="00CD5592" w:rsidP="000F1BF9">
            <w:pPr>
              <w:pStyle w:val="NoSpacing"/>
              <w:rPr>
                <w:rFonts w:ascii="Arial" w:hAnsi="Arial"/>
                <w:color w:val="548DD4" w:themeColor="text2" w:themeTint="99"/>
                <w:sz w:val="28"/>
                <w:szCs w:val="24"/>
              </w:rPr>
            </w:pPr>
            <w:r w:rsidRPr="0025020E">
              <w:rPr>
                <w:rFonts w:ascii="Arial" w:hAnsi="Arial"/>
                <w:color w:val="548DD4" w:themeColor="text2" w:themeTint="99"/>
                <w:sz w:val="28"/>
                <w:szCs w:val="24"/>
              </w:rPr>
              <w:t xml:space="preserve">Published </w:t>
            </w:r>
            <w:r w:rsidR="000F1BF9" w:rsidRPr="0025020E">
              <w:rPr>
                <w:rFonts w:ascii="Arial" w:hAnsi="Arial"/>
                <w:color w:val="548DD4" w:themeColor="text2" w:themeTint="99"/>
                <w:sz w:val="28"/>
                <w:szCs w:val="24"/>
              </w:rPr>
              <w:t>August 2016</w:t>
            </w:r>
          </w:p>
          <w:p w:rsidR="00D02382" w:rsidRPr="0025020E" w:rsidRDefault="00D02382" w:rsidP="000F1BF9">
            <w:pPr>
              <w:pStyle w:val="NoSpacing"/>
              <w:rPr>
                <w:rFonts w:ascii="Arial" w:hAnsi="Arial"/>
                <w:color w:val="548DD4" w:themeColor="text2" w:themeTint="99"/>
                <w:sz w:val="28"/>
                <w:szCs w:val="24"/>
              </w:rPr>
            </w:pPr>
          </w:p>
          <w:p w:rsidR="00D02382" w:rsidRPr="0025020E" w:rsidRDefault="00D02382" w:rsidP="000F1BF9">
            <w:pPr>
              <w:pStyle w:val="NoSpacing"/>
              <w:rPr>
                <w:rFonts w:ascii="Arial" w:hAnsi="Arial"/>
                <w:color w:val="548DD4" w:themeColor="text2" w:themeTint="99"/>
                <w:sz w:val="24"/>
                <w:szCs w:val="24"/>
              </w:rPr>
            </w:pPr>
            <w:r w:rsidRPr="0025020E">
              <w:rPr>
                <w:rFonts w:ascii="Arial" w:hAnsi="Arial"/>
                <w:color w:val="548DD4" w:themeColor="text2" w:themeTint="99"/>
                <w:sz w:val="24"/>
                <w:szCs w:val="24"/>
              </w:rPr>
              <w:t xml:space="preserve">This Lettings Plan will be replicated for further phases on this development. Full details of further phases on this development will be available on the Homesearch website at www.homesearchbathnes.org.uk.  </w:t>
            </w:r>
          </w:p>
        </w:tc>
      </w:tr>
    </w:tbl>
    <w:p w:rsidR="0019461B" w:rsidRPr="0025020E" w:rsidRDefault="006E229D">
      <w:pPr>
        <w:rPr>
          <w:rFonts w:cs="Arial"/>
          <w:bCs/>
          <w:color w:val="548DD4" w:themeColor="text2" w:themeTint="99"/>
          <w:lang w:val="en-US" w:eastAsia="ja-JP"/>
        </w:rPr>
      </w:pPr>
      <w:r w:rsidRPr="0025020E">
        <w:rPr>
          <w:rFonts w:cs="Arial"/>
          <w:bCs/>
          <w:color w:val="548DD4" w:themeColor="text2" w:themeTint="99"/>
          <w:lang w:val="en-US" w:eastAsia="ja-JP"/>
        </w:rPr>
        <w:t xml:space="preserve"> </w:t>
      </w: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rsidP="0019461B">
      <w:pPr>
        <w:rPr>
          <w:rFonts w:cs="Arial"/>
          <w:color w:val="548DD4" w:themeColor="text2" w:themeTint="99"/>
          <w:lang w:val="en-US" w:eastAsia="ja-JP"/>
        </w:rPr>
      </w:pPr>
    </w:p>
    <w:p w:rsidR="0019461B" w:rsidRPr="0025020E" w:rsidRDefault="0019461B">
      <w:pPr>
        <w:rPr>
          <w:rFonts w:cs="Arial"/>
          <w:color w:val="548DD4" w:themeColor="text2" w:themeTint="99"/>
          <w:lang w:val="en-US" w:eastAsia="ja-JP"/>
        </w:rPr>
      </w:pPr>
    </w:p>
    <w:p w:rsidR="0019461B" w:rsidRPr="0025020E" w:rsidRDefault="0019461B">
      <w:pPr>
        <w:rPr>
          <w:rFonts w:cs="Arial"/>
          <w:color w:val="548DD4" w:themeColor="text2" w:themeTint="99"/>
          <w:lang w:val="en-US" w:eastAsia="ja-JP"/>
        </w:rPr>
      </w:pPr>
    </w:p>
    <w:p w:rsidR="0019461B" w:rsidRPr="0025020E" w:rsidRDefault="0019461B" w:rsidP="0019461B">
      <w:pPr>
        <w:jc w:val="center"/>
        <w:rPr>
          <w:rFonts w:cs="Arial"/>
          <w:color w:val="548DD4" w:themeColor="text2" w:themeTint="99"/>
          <w:lang w:val="en-US" w:eastAsia="ja-JP"/>
        </w:rPr>
      </w:pPr>
    </w:p>
    <w:p w:rsidR="006E229D" w:rsidRPr="0025020E" w:rsidRDefault="006E229D">
      <w:pPr>
        <w:rPr>
          <w:rFonts w:cs="Arial"/>
          <w:bCs/>
          <w:color w:val="548DD4" w:themeColor="text2" w:themeTint="99"/>
          <w:lang w:val="en-US" w:eastAsia="ja-JP"/>
        </w:rPr>
      </w:pPr>
      <w:r w:rsidRPr="0025020E">
        <w:rPr>
          <w:rFonts w:cs="Arial"/>
          <w:color w:val="548DD4" w:themeColor="text2" w:themeTint="99"/>
          <w:lang w:val="en-US" w:eastAsia="ja-JP"/>
        </w:rPr>
        <w:br w:type="page"/>
      </w:r>
    </w:p>
    <w:p w:rsidR="006E229D" w:rsidRPr="0025020E" w:rsidRDefault="006E229D">
      <w:pPr>
        <w:rPr>
          <w:rFonts w:cs="Arial"/>
          <w:color w:val="548DD4" w:themeColor="text2" w:themeTint="99"/>
        </w:rPr>
      </w:pPr>
    </w:p>
    <w:p w:rsidR="00666226" w:rsidRPr="0025020E" w:rsidRDefault="00666226">
      <w:pPr>
        <w:rPr>
          <w:rFonts w:cs="Arial"/>
          <w:color w:val="548DD4" w:themeColor="text2" w:themeTint="99"/>
        </w:rPr>
      </w:pPr>
    </w:p>
    <w:p w:rsidR="00B52B88" w:rsidRPr="0025020E" w:rsidRDefault="00B52B88">
      <w:pPr>
        <w:rPr>
          <w:rFonts w:cs="Arial"/>
          <w:color w:val="548DD4" w:themeColor="text2" w:themeTint="99"/>
        </w:rPr>
      </w:pPr>
    </w:p>
    <w:p w:rsidR="00B52B88" w:rsidRPr="0025020E" w:rsidRDefault="00B52B88">
      <w:pPr>
        <w:rPr>
          <w:rFonts w:cs="Arial"/>
          <w:color w:val="548DD4" w:themeColor="text2" w:themeTint="99"/>
        </w:rPr>
      </w:pPr>
    </w:p>
    <w:p w:rsidR="00B52B88" w:rsidRPr="0025020E" w:rsidRDefault="00B52B88">
      <w:pPr>
        <w:rPr>
          <w:rFonts w:cs="Arial"/>
          <w:color w:val="548DD4" w:themeColor="text2" w:themeTint="99"/>
        </w:rPr>
      </w:pPr>
    </w:p>
    <w:p w:rsidR="00B52B88" w:rsidRPr="0025020E" w:rsidRDefault="00B52B88">
      <w:pPr>
        <w:rPr>
          <w:rFonts w:cs="Arial"/>
          <w:color w:val="548DD4" w:themeColor="text2" w:themeTint="99"/>
        </w:rPr>
      </w:pPr>
    </w:p>
    <w:p w:rsidR="00B52B88" w:rsidRPr="0025020E" w:rsidRDefault="00B52B88">
      <w:pPr>
        <w:rPr>
          <w:rFonts w:cs="Arial"/>
          <w:color w:val="548DD4" w:themeColor="text2" w:themeTint="99"/>
        </w:rPr>
      </w:pPr>
    </w:p>
    <w:tbl>
      <w:tblPr>
        <w:tblpPr w:leftFromText="187" w:rightFromText="187" w:vertAnchor="page" w:horzAnchor="margin" w:tblpX="250" w:tblpY="8344"/>
        <w:tblW w:w="4829" w:type="pct"/>
        <w:tblLook w:val="04A0" w:firstRow="1" w:lastRow="0" w:firstColumn="1" w:lastColumn="0" w:noHBand="0" w:noVBand="1"/>
      </w:tblPr>
      <w:tblGrid>
        <w:gridCol w:w="4994"/>
        <w:gridCol w:w="5120"/>
      </w:tblGrid>
      <w:tr w:rsidR="0025020E" w:rsidRPr="0025020E" w:rsidTr="00B52B88">
        <w:tc>
          <w:tcPr>
            <w:tcW w:w="2469" w:type="pct"/>
          </w:tcPr>
          <w:p w:rsidR="00411886" w:rsidRPr="0025020E" w:rsidRDefault="00411886" w:rsidP="00B52B88">
            <w:pPr>
              <w:pStyle w:val="NoSpacing"/>
              <w:rPr>
                <w:rFonts w:ascii="Arial" w:hAnsi="Arial"/>
                <w:color w:val="548DD4" w:themeColor="text2" w:themeTint="99"/>
                <w:sz w:val="24"/>
                <w:szCs w:val="24"/>
              </w:rPr>
            </w:pPr>
          </w:p>
          <w:p w:rsidR="00411886" w:rsidRPr="0025020E" w:rsidRDefault="00411886" w:rsidP="00B52B88">
            <w:pPr>
              <w:pStyle w:val="NoSpacing"/>
              <w:rPr>
                <w:rFonts w:ascii="Arial" w:hAnsi="Arial"/>
                <w:bCs/>
                <w:color w:val="548DD4" w:themeColor="text2" w:themeTint="99"/>
                <w:sz w:val="24"/>
                <w:szCs w:val="24"/>
              </w:rPr>
            </w:pPr>
            <w:r w:rsidRPr="0025020E">
              <w:rPr>
                <w:rFonts w:ascii="Arial" w:hAnsi="Arial"/>
                <w:bCs/>
                <w:color w:val="548DD4" w:themeColor="text2" w:themeTint="99"/>
                <w:sz w:val="24"/>
                <w:szCs w:val="24"/>
              </w:rPr>
              <w:t>Bath and North East Somerset Council</w:t>
            </w:r>
          </w:p>
          <w:p w:rsidR="00F321BD" w:rsidRPr="0025020E" w:rsidRDefault="00411886" w:rsidP="00B52B88">
            <w:pPr>
              <w:pStyle w:val="NoSpacing"/>
              <w:rPr>
                <w:rFonts w:ascii="Arial" w:hAnsi="Arial"/>
                <w:bCs/>
                <w:color w:val="548DD4" w:themeColor="text2" w:themeTint="99"/>
                <w:sz w:val="24"/>
                <w:szCs w:val="24"/>
              </w:rPr>
            </w:pPr>
            <w:r w:rsidRPr="0025020E">
              <w:rPr>
                <w:rFonts w:ascii="Arial" w:hAnsi="Arial"/>
                <w:bCs/>
                <w:color w:val="548DD4" w:themeColor="text2" w:themeTint="99"/>
                <w:sz w:val="24"/>
                <w:szCs w:val="24"/>
              </w:rPr>
              <w:t>Housing Services, PO Box 3343</w:t>
            </w:r>
          </w:p>
          <w:p w:rsidR="00411886" w:rsidRPr="0025020E" w:rsidRDefault="00411886" w:rsidP="00B52B88">
            <w:pPr>
              <w:pStyle w:val="NoSpacing"/>
              <w:rPr>
                <w:rFonts w:ascii="Arial" w:hAnsi="Arial"/>
                <w:bCs/>
                <w:color w:val="548DD4" w:themeColor="text2" w:themeTint="99"/>
                <w:sz w:val="24"/>
                <w:szCs w:val="24"/>
              </w:rPr>
            </w:pPr>
            <w:r w:rsidRPr="0025020E">
              <w:rPr>
                <w:rFonts w:ascii="Arial" w:hAnsi="Arial"/>
                <w:bCs/>
                <w:color w:val="548DD4" w:themeColor="text2" w:themeTint="99"/>
                <w:sz w:val="24"/>
                <w:szCs w:val="24"/>
              </w:rPr>
              <w:t>Bath, BA1 2ZH</w:t>
            </w:r>
          </w:p>
          <w:p w:rsidR="00411886" w:rsidRPr="0025020E" w:rsidRDefault="00411886" w:rsidP="00B52B88">
            <w:pPr>
              <w:pStyle w:val="NoSpacing"/>
              <w:rPr>
                <w:rFonts w:ascii="Arial" w:hAnsi="Arial"/>
                <w:bCs/>
                <w:color w:val="548DD4" w:themeColor="text2" w:themeTint="99"/>
                <w:sz w:val="24"/>
                <w:szCs w:val="24"/>
              </w:rPr>
            </w:pPr>
          </w:p>
          <w:p w:rsidR="00411886" w:rsidRPr="0025020E" w:rsidRDefault="00411886" w:rsidP="00B52B88">
            <w:pPr>
              <w:pStyle w:val="NoSpacing"/>
              <w:rPr>
                <w:rFonts w:ascii="Arial" w:hAnsi="Arial"/>
                <w:bCs/>
                <w:color w:val="548DD4" w:themeColor="text2" w:themeTint="99"/>
                <w:sz w:val="24"/>
                <w:szCs w:val="24"/>
              </w:rPr>
            </w:pPr>
            <w:r w:rsidRPr="0025020E">
              <w:rPr>
                <w:rFonts w:ascii="Arial" w:hAnsi="Arial"/>
                <w:bCs/>
                <w:color w:val="548DD4" w:themeColor="text2" w:themeTint="99"/>
                <w:sz w:val="24"/>
                <w:szCs w:val="24"/>
              </w:rPr>
              <w:t>Telephone: 01225 396118</w:t>
            </w:r>
          </w:p>
          <w:p w:rsidR="00411886" w:rsidRPr="0025020E" w:rsidRDefault="00411886" w:rsidP="00B52B88">
            <w:pPr>
              <w:pStyle w:val="NoSpacing"/>
              <w:rPr>
                <w:rFonts w:ascii="Arial" w:hAnsi="Arial"/>
                <w:bCs/>
                <w:color w:val="548DD4" w:themeColor="text2" w:themeTint="99"/>
                <w:sz w:val="24"/>
                <w:szCs w:val="24"/>
              </w:rPr>
            </w:pPr>
            <w:r w:rsidRPr="0025020E">
              <w:rPr>
                <w:rFonts w:ascii="Arial" w:hAnsi="Arial"/>
                <w:bCs/>
                <w:color w:val="548DD4" w:themeColor="text2" w:themeTint="99"/>
                <w:sz w:val="24"/>
                <w:szCs w:val="24"/>
              </w:rPr>
              <w:t>Fax: 01225 477839</w:t>
            </w:r>
          </w:p>
          <w:p w:rsidR="00411886" w:rsidRPr="0025020E" w:rsidRDefault="00411886" w:rsidP="00B52B88">
            <w:pPr>
              <w:overflowPunct w:val="0"/>
              <w:autoSpaceDE w:val="0"/>
              <w:autoSpaceDN w:val="0"/>
              <w:adjustRightInd w:val="0"/>
              <w:jc w:val="both"/>
              <w:textAlignment w:val="baseline"/>
              <w:rPr>
                <w:rFonts w:cs="Arial"/>
                <w:bCs/>
                <w:color w:val="548DD4" w:themeColor="text2" w:themeTint="99"/>
              </w:rPr>
            </w:pPr>
            <w:r w:rsidRPr="0025020E">
              <w:rPr>
                <w:rFonts w:cs="Arial"/>
                <w:bCs/>
                <w:color w:val="548DD4" w:themeColor="text2" w:themeTint="99"/>
              </w:rPr>
              <w:t>Minicom: 01225 477815</w:t>
            </w:r>
          </w:p>
          <w:p w:rsidR="00411886" w:rsidRPr="0025020E" w:rsidRDefault="00411886" w:rsidP="00B52B88">
            <w:pPr>
              <w:overflowPunct w:val="0"/>
              <w:autoSpaceDE w:val="0"/>
              <w:autoSpaceDN w:val="0"/>
              <w:adjustRightInd w:val="0"/>
              <w:jc w:val="both"/>
              <w:textAlignment w:val="baseline"/>
              <w:rPr>
                <w:rFonts w:cs="Arial"/>
                <w:bCs/>
                <w:color w:val="548DD4" w:themeColor="text2" w:themeTint="99"/>
              </w:rPr>
            </w:pPr>
          </w:p>
          <w:p w:rsidR="00411886" w:rsidRPr="0025020E" w:rsidRDefault="002E29C4" w:rsidP="00B52B88">
            <w:pPr>
              <w:pStyle w:val="NoSpacing"/>
              <w:rPr>
                <w:rStyle w:val="Hyperlink"/>
                <w:rFonts w:ascii="Arial" w:hAnsi="Arial"/>
                <w:bCs/>
                <w:color w:val="548DD4" w:themeColor="text2" w:themeTint="99"/>
                <w:sz w:val="24"/>
                <w:szCs w:val="24"/>
              </w:rPr>
            </w:pPr>
            <w:hyperlink r:id="rId10" w:history="1">
              <w:r w:rsidR="00411886" w:rsidRPr="0025020E">
                <w:rPr>
                  <w:rStyle w:val="Hyperlink"/>
                  <w:rFonts w:ascii="Arial" w:hAnsi="Arial"/>
                  <w:bCs/>
                  <w:color w:val="548DD4" w:themeColor="text2" w:themeTint="99"/>
                  <w:sz w:val="24"/>
                  <w:szCs w:val="24"/>
                </w:rPr>
                <w:t>Homesearch@Bathnes.gov.uk</w:t>
              </w:r>
            </w:hyperlink>
          </w:p>
          <w:p w:rsidR="00411886" w:rsidRPr="0025020E" w:rsidRDefault="002E29C4" w:rsidP="00B52B88">
            <w:pPr>
              <w:pStyle w:val="NoSpacing"/>
              <w:rPr>
                <w:rStyle w:val="Hyperlink"/>
                <w:rFonts w:ascii="Arial" w:hAnsi="Arial"/>
                <w:bCs/>
                <w:color w:val="548DD4" w:themeColor="text2" w:themeTint="99"/>
                <w:sz w:val="24"/>
                <w:szCs w:val="24"/>
              </w:rPr>
            </w:pPr>
            <w:hyperlink r:id="rId11" w:history="1">
              <w:r w:rsidR="00411886" w:rsidRPr="0025020E">
                <w:rPr>
                  <w:rStyle w:val="Hyperlink"/>
                  <w:rFonts w:ascii="Arial" w:hAnsi="Arial"/>
                  <w:bCs/>
                  <w:color w:val="548DD4" w:themeColor="text2" w:themeTint="99"/>
                  <w:sz w:val="24"/>
                  <w:szCs w:val="24"/>
                </w:rPr>
                <w:t>www.Homesearchbathnes.org.uk</w:t>
              </w:r>
            </w:hyperlink>
          </w:p>
          <w:p w:rsidR="00411886" w:rsidRPr="0025020E" w:rsidRDefault="00411886" w:rsidP="00B52B88">
            <w:pPr>
              <w:pStyle w:val="NoSpacing"/>
              <w:rPr>
                <w:rStyle w:val="Hyperlink"/>
                <w:rFonts w:ascii="Arial" w:hAnsi="Arial"/>
                <w:bCs/>
                <w:color w:val="548DD4" w:themeColor="text2" w:themeTint="99"/>
                <w:sz w:val="24"/>
                <w:szCs w:val="24"/>
              </w:rPr>
            </w:pPr>
          </w:p>
          <w:p w:rsidR="00411886" w:rsidRPr="0025020E" w:rsidRDefault="00411886" w:rsidP="00B52B88">
            <w:pPr>
              <w:pStyle w:val="NoSpacing"/>
              <w:rPr>
                <w:rFonts w:ascii="Arial" w:hAnsi="Arial"/>
                <w:color w:val="548DD4" w:themeColor="text2" w:themeTint="99"/>
                <w:sz w:val="24"/>
                <w:szCs w:val="24"/>
              </w:rPr>
            </w:pPr>
          </w:p>
          <w:p w:rsidR="00411886" w:rsidRPr="0025020E" w:rsidRDefault="002E29C4" w:rsidP="00B52B88">
            <w:pPr>
              <w:pStyle w:val="NoSpacing"/>
              <w:rPr>
                <w:rFonts w:ascii="Arial" w:hAnsi="Arial"/>
                <w:color w:val="548DD4" w:themeColor="text2" w:themeTint="99"/>
                <w:sz w:val="24"/>
                <w:szCs w:val="24"/>
              </w:rPr>
            </w:pPr>
            <w:r>
              <w:rPr>
                <w:rFonts w:ascii="Arial" w:hAnsi="Arial"/>
                <w:color w:val="548DD4" w:themeColor="text2" w:themeTint="99"/>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62.25pt">
                  <v:imagedata r:id="rId12" o:title="Capture (3)"/>
                </v:shape>
              </w:pict>
            </w:r>
          </w:p>
          <w:p w:rsidR="00411886" w:rsidRPr="0025020E" w:rsidRDefault="00411886" w:rsidP="00B52B88">
            <w:pPr>
              <w:pStyle w:val="NoSpacing"/>
              <w:rPr>
                <w:rFonts w:ascii="Arial" w:hAnsi="Arial"/>
                <w:color w:val="548DD4" w:themeColor="text2" w:themeTint="99"/>
                <w:sz w:val="24"/>
                <w:szCs w:val="24"/>
              </w:rPr>
            </w:pPr>
          </w:p>
        </w:tc>
        <w:tc>
          <w:tcPr>
            <w:tcW w:w="2531" w:type="pct"/>
          </w:tcPr>
          <w:p w:rsidR="00411886" w:rsidRPr="0025020E" w:rsidRDefault="00411886" w:rsidP="00B52B88">
            <w:pPr>
              <w:pStyle w:val="NoSpacing"/>
              <w:rPr>
                <w:rFonts w:ascii="Arial" w:hAnsi="Arial"/>
                <w:color w:val="548DD4" w:themeColor="text2" w:themeTint="99"/>
                <w:sz w:val="24"/>
                <w:szCs w:val="24"/>
              </w:rPr>
            </w:pPr>
          </w:p>
          <w:p w:rsidR="00411886" w:rsidRPr="0025020E" w:rsidRDefault="002652DE" w:rsidP="00B52B88">
            <w:pPr>
              <w:pStyle w:val="NoSpacing"/>
              <w:rPr>
                <w:rFonts w:ascii="Arial" w:hAnsi="Arial"/>
                <w:color w:val="548DD4" w:themeColor="text2" w:themeTint="99"/>
                <w:sz w:val="24"/>
                <w:szCs w:val="24"/>
              </w:rPr>
            </w:pPr>
            <w:r w:rsidRPr="0025020E">
              <w:rPr>
                <w:rFonts w:ascii="Arial" w:hAnsi="Arial"/>
                <w:color w:val="548DD4" w:themeColor="text2" w:themeTint="99"/>
                <w:sz w:val="24"/>
                <w:szCs w:val="24"/>
              </w:rPr>
              <w:t xml:space="preserve">Curo </w:t>
            </w:r>
            <w:r w:rsidR="00F321BD" w:rsidRPr="0025020E">
              <w:rPr>
                <w:rFonts w:ascii="Arial" w:hAnsi="Arial"/>
                <w:color w:val="548DD4" w:themeColor="text2" w:themeTint="99"/>
                <w:sz w:val="24"/>
                <w:szCs w:val="24"/>
              </w:rPr>
              <w:t>Group</w:t>
            </w:r>
          </w:p>
          <w:p w:rsidR="00F321BD" w:rsidRPr="0025020E" w:rsidRDefault="002652DE" w:rsidP="00B52B88">
            <w:pPr>
              <w:pStyle w:val="NoSpacing"/>
              <w:rPr>
                <w:rFonts w:ascii="Arial" w:hAnsi="Arial"/>
                <w:color w:val="548DD4" w:themeColor="text2" w:themeTint="99"/>
                <w:sz w:val="24"/>
                <w:szCs w:val="24"/>
              </w:rPr>
            </w:pPr>
            <w:r w:rsidRPr="0025020E">
              <w:rPr>
                <w:rFonts w:ascii="Arial" w:hAnsi="Arial"/>
                <w:color w:val="548DD4" w:themeColor="text2" w:themeTint="99"/>
                <w:sz w:val="24"/>
                <w:szCs w:val="24"/>
              </w:rPr>
              <w:t>The Maltings, River Place</w:t>
            </w:r>
          </w:p>
          <w:p w:rsidR="00411886" w:rsidRPr="0025020E" w:rsidRDefault="002652DE" w:rsidP="00B52B88">
            <w:pPr>
              <w:pStyle w:val="NoSpacing"/>
              <w:rPr>
                <w:rFonts w:ascii="Arial" w:hAnsi="Arial"/>
                <w:color w:val="548DD4" w:themeColor="text2" w:themeTint="99"/>
                <w:sz w:val="24"/>
                <w:szCs w:val="24"/>
              </w:rPr>
            </w:pPr>
            <w:r w:rsidRPr="0025020E">
              <w:rPr>
                <w:rFonts w:ascii="Arial" w:hAnsi="Arial"/>
                <w:color w:val="548DD4" w:themeColor="text2" w:themeTint="99"/>
                <w:sz w:val="24"/>
                <w:szCs w:val="24"/>
              </w:rPr>
              <w:t>Lower Bristol Road, Bath, BA2 !EP</w:t>
            </w:r>
          </w:p>
          <w:p w:rsidR="002652DE" w:rsidRPr="0025020E" w:rsidRDefault="002652DE" w:rsidP="00B52B88">
            <w:pPr>
              <w:pStyle w:val="NoSpacing"/>
              <w:rPr>
                <w:rFonts w:ascii="Arial" w:hAnsi="Arial"/>
                <w:color w:val="548DD4" w:themeColor="text2" w:themeTint="99"/>
                <w:sz w:val="24"/>
                <w:szCs w:val="24"/>
              </w:rPr>
            </w:pPr>
          </w:p>
          <w:p w:rsidR="00411886" w:rsidRPr="0025020E" w:rsidRDefault="00F321BD" w:rsidP="00B52B88">
            <w:pPr>
              <w:pStyle w:val="NoSpacing"/>
              <w:rPr>
                <w:rFonts w:ascii="Arial" w:hAnsi="Arial"/>
                <w:color w:val="548DD4" w:themeColor="text2" w:themeTint="99"/>
                <w:sz w:val="24"/>
                <w:szCs w:val="24"/>
              </w:rPr>
            </w:pPr>
            <w:r w:rsidRPr="0025020E">
              <w:rPr>
                <w:rFonts w:ascii="Arial" w:hAnsi="Arial"/>
                <w:color w:val="548DD4" w:themeColor="text2" w:themeTint="99"/>
                <w:sz w:val="24"/>
                <w:szCs w:val="24"/>
              </w:rPr>
              <w:t>Telephone: 01225 366000</w:t>
            </w:r>
          </w:p>
          <w:p w:rsidR="00F321BD" w:rsidRPr="0025020E" w:rsidRDefault="00F321BD" w:rsidP="00B52B88">
            <w:pPr>
              <w:pStyle w:val="NoSpacing"/>
              <w:rPr>
                <w:rFonts w:ascii="Arial" w:hAnsi="Arial"/>
                <w:color w:val="548DD4" w:themeColor="text2" w:themeTint="99"/>
                <w:sz w:val="24"/>
                <w:szCs w:val="24"/>
              </w:rPr>
            </w:pPr>
            <w:r w:rsidRPr="0025020E">
              <w:rPr>
                <w:rFonts w:ascii="Arial" w:hAnsi="Arial"/>
                <w:color w:val="548DD4" w:themeColor="text2" w:themeTint="99"/>
                <w:sz w:val="24"/>
                <w:szCs w:val="24"/>
              </w:rPr>
              <w:t xml:space="preserve">Fax: </w:t>
            </w:r>
          </w:p>
          <w:p w:rsidR="00F321BD" w:rsidRPr="0025020E" w:rsidRDefault="00F321BD" w:rsidP="00B52B88">
            <w:pPr>
              <w:pStyle w:val="NoSpacing"/>
              <w:rPr>
                <w:rFonts w:ascii="Arial" w:hAnsi="Arial"/>
                <w:color w:val="548DD4" w:themeColor="text2" w:themeTint="99"/>
                <w:sz w:val="24"/>
                <w:szCs w:val="24"/>
              </w:rPr>
            </w:pPr>
            <w:r w:rsidRPr="0025020E">
              <w:rPr>
                <w:rFonts w:ascii="Arial" w:hAnsi="Arial"/>
                <w:color w:val="548DD4" w:themeColor="text2" w:themeTint="99"/>
                <w:sz w:val="24"/>
                <w:szCs w:val="24"/>
              </w:rPr>
              <w:t>Minicom:</w:t>
            </w:r>
          </w:p>
          <w:p w:rsidR="00F321BD" w:rsidRPr="0025020E" w:rsidRDefault="00F321BD" w:rsidP="00B52B88">
            <w:pPr>
              <w:pStyle w:val="NoSpacing"/>
              <w:rPr>
                <w:rFonts w:ascii="Arial" w:hAnsi="Arial"/>
                <w:color w:val="548DD4" w:themeColor="text2" w:themeTint="99"/>
                <w:sz w:val="24"/>
                <w:szCs w:val="24"/>
              </w:rPr>
            </w:pPr>
          </w:p>
          <w:p w:rsidR="00F321BD" w:rsidRPr="0025020E" w:rsidRDefault="002E29C4" w:rsidP="00B52B88">
            <w:pPr>
              <w:pStyle w:val="NoSpacing"/>
              <w:rPr>
                <w:rFonts w:ascii="Arial" w:hAnsi="Arial"/>
                <w:color w:val="548DD4" w:themeColor="text2" w:themeTint="99"/>
                <w:sz w:val="24"/>
                <w:szCs w:val="24"/>
              </w:rPr>
            </w:pPr>
            <w:hyperlink r:id="rId13" w:history="1">
              <w:r w:rsidR="00F321BD" w:rsidRPr="0025020E">
                <w:rPr>
                  <w:rStyle w:val="Hyperlink"/>
                  <w:rFonts w:ascii="Arial" w:hAnsi="Arial"/>
                  <w:color w:val="548DD4" w:themeColor="text2" w:themeTint="99"/>
                  <w:sz w:val="24"/>
                  <w:szCs w:val="24"/>
                </w:rPr>
                <w:t>hello@Curo-Group.co.uk</w:t>
              </w:r>
            </w:hyperlink>
          </w:p>
          <w:p w:rsidR="00F321BD" w:rsidRPr="0025020E" w:rsidRDefault="002E29C4" w:rsidP="00B52B88">
            <w:pPr>
              <w:pStyle w:val="NoSpacing"/>
              <w:rPr>
                <w:rFonts w:ascii="Arial" w:hAnsi="Arial"/>
                <w:color w:val="548DD4" w:themeColor="text2" w:themeTint="99"/>
                <w:sz w:val="24"/>
                <w:szCs w:val="24"/>
              </w:rPr>
            </w:pPr>
            <w:hyperlink r:id="rId14" w:history="1">
              <w:r w:rsidR="00F321BD" w:rsidRPr="0025020E">
                <w:rPr>
                  <w:rStyle w:val="Hyperlink"/>
                  <w:rFonts w:ascii="Arial" w:hAnsi="Arial"/>
                  <w:color w:val="548DD4" w:themeColor="text2" w:themeTint="99"/>
                  <w:sz w:val="24"/>
                  <w:szCs w:val="24"/>
                </w:rPr>
                <w:t>www.curogroup.co.uk</w:t>
              </w:r>
            </w:hyperlink>
          </w:p>
          <w:p w:rsidR="00411886" w:rsidRPr="0025020E" w:rsidRDefault="00411886" w:rsidP="00B52B88">
            <w:pPr>
              <w:pStyle w:val="NoSpacing"/>
              <w:rPr>
                <w:rFonts w:ascii="Arial" w:hAnsi="Arial"/>
                <w:color w:val="548DD4" w:themeColor="text2" w:themeTint="99"/>
                <w:sz w:val="24"/>
                <w:szCs w:val="24"/>
              </w:rPr>
            </w:pPr>
          </w:p>
          <w:p w:rsidR="00411886" w:rsidRPr="0025020E" w:rsidRDefault="002E29C4" w:rsidP="00B52B88">
            <w:pPr>
              <w:pStyle w:val="NoSpacing"/>
              <w:rPr>
                <w:rFonts w:ascii="Arial" w:hAnsi="Arial"/>
                <w:color w:val="548DD4" w:themeColor="text2" w:themeTint="99"/>
                <w:sz w:val="24"/>
                <w:szCs w:val="24"/>
              </w:rPr>
            </w:pPr>
            <w:r>
              <w:rPr>
                <w:rFonts w:ascii="Arial" w:hAnsi="Arial"/>
                <w:color w:val="548DD4" w:themeColor="text2" w:themeTint="99"/>
                <w:sz w:val="24"/>
                <w:szCs w:val="24"/>
              </w:rPr>
              <w:pict>
                <v:shape id="_x0000_i1026" type="#_x0000_t75" style="width:120pt;height:120pt">
                  <v:imagedata r:id="rId15" o:title="curo group logo"/>
                </v:shape>
              </w:pict>
            </w:r>
          </w:p>
        </w:tc>
      </w:tr>
      <w:tr w:rsidR="0025020E" w:rsidRPr="0025020E" w:rsidTr="00B52B88">
        <w:tc>
          <w:tcPr>
            <w:tcW w:w="5000" w:type="pct"/>
            <w:gridSpan w:val="2"/>
          </w:tcPr>
          <w:p w:rsidR="00411886" w:rsidRPr="0025020E" w:rsidRDefault="00411886" w:rsidP="00B52B88">
            <w:pPr>
              <w:pStyle w:val="NoSpacing"/>
              <w:rPr>
                <w:rFonts w:ascii="Arial" w:hAnsi="Arial"/>
                <w:color w:val="548DD4" w:themeColor="text2" w:themeTint="99"/>
                <w:sz w:val="24"/>
                <w:szCs w:val="24"/>
              </w:rPr>
            </w:pPr>
          </w:p>
          <w:p w:rsidR="00411886" w:rsidRPr="0025020E" w:rsidRDefault="00411886" w:rsidP="00B52B88">
            <w:pPr>
              <w:pStyle w:val="NoSpacing"/>
              <w:rPr>
                <w:rFonts w:ascii="Arial" w:hAnsi="Arial"/>
                <w:color w:val="548DD4" w:themeColor="text2" w:themeTint="99"/>
                <w:sz w:val="24"/>
                <w:szCs w:val="24"/>
              </w:rPr>
            </w:pPr>
            <w:r w:rsidRPr="0025020E">
              <w:rPr>
                <w:rFonts w:ascii="Arial" w:hAnsi="Arial"/>
                <w:i/>
                <w:color w:val="548DD4" w:themeColor="text2" w:themeTint="99"/>
                <w:sz w:val="24"/>
                <w:szCs w:val="24"/>
              </w:rPr>
              <w:t>This document can be made available in a range of languages, large print and Braille.</w:t>
            </w:r>
          </w:p>
          <w:p w:rsidR="00411886" w:rsidRPr="0025020E" w:rsidRDefault="00411886" w:rsidP="00B52B88">
            <w:pPr>
              <w:pStyle w:val="NoSpacing"/>
              <w:rPr>
                <w:rFonts w:ascii="Arial" w:hAnsi="Arial"/>
                <w:color w:val="548DD4" w:themeColor="text2" w:themeTint="99"/>
                <w:sz w:val="24"/>
                <w:szCs w:val="24"/>
              </w:rPr>
            </w:pPr>
          </w:p>
        </w:tc>
      </w:tr>
    </w:tbl>
    <w:p w:rsidR="00206257" w:rsidRPr="0025020E" w:rsidRDefault="00206257" w:rsidP="00411886">
      <w:pPr>
        <w:pStyle w:val="Heading1"/>
        <w:rPr>
          <w:rFonts w:cs="Arial"/>
          <w:color w:val="548DD4" w:themeColor="text2" w:themeTint="99"/>
          <w:sz w:val="24"/>
          <w:szCs w:val="24"/>
        </w:rPr>
      </w:pPr>
    </w:p>
    <w:p w:rsidR="00206257" w:rsidRPr="0025020E" w:rsidRDefault="00206257" w:rsidP="00206257">
      <w:pPr>
        <w:rPr>
          <w:rFonts w:cs="Arial"/>
          <w:color w:val="548DD4" w:themeColor="text2" w:themeTint="99"/>
        </w:rPr>
      </w:pPr>
    </w:p>
    <w:p w:rsidR="00206257" w:rsidRPr="0025020E" w:rsidRDefault="00206257" w:rsidP="00206257">
      <w:pPr>
        <w:rPr>
          <w:rFonts w:cs="Arial"/>
          <w:color w:val="548DD4" w:themeColor="text2" w:themeTint="99"/>
        </w:rPr>
      </w:pPr>
    </w:p>
    <w:p w:rsidR="00206257" w:rsidRPr="0025020E" w:rsidRDefault="00206257" w:rsidP="00206257">
      <w:pPr>
        <w:tabs>
          <w:tab w:val="left" w:pos="2954"/>
        </w:tabs>
        <w:rPr>
          <w:rFonts w:cs="Arial"/>
          <w:color w:val="548DD4" w:themeColor="text2" w:themeTint="99"/>
        </w:rPr>
      </w:pPr>
      <w:r w:rsidRPr="0025020E">
        <w:rPr>
          <w:rFonts w:cs="Arial"/>
          <w:color w:val="548DD4" w:themeColor="text2" w:themeTint="99"/>
        </w:rPr>
        <w:tab/>
      </w:r>
    </w:p>
    <w:p w:rsidR="006E229D" w:rsidRPr="0025020E" w:rsidRDefault="006E229D" w:rsidP="00411886">
      <w:pPr>
        <w:pStyle w:val="Heading1"/>
        <w:rPr>
          <w:rFonts w:cs="Arial"/>
          <w:color w:val="548DD4" w:themeColor="text2" w:themeTint="99"/>
          <w:sz w:val="24"/>
          <w:szCs w:val="24"/>
        </w:rPr>
      </w:pPr>
    </w:p>
    <w:p w:rsidR="00411886" w:rsidRPr="0025020E" w:rsidRDefault="00666226" w:rsidP="0068141A">
      <w:pPr>
        <w:pStyle w:val="Heading1"/>
        <w:rPr>
          <w:color w:val="548DD4" w:themeColor="text2" w:themeTint="99"/>
        </w:rPr>
      </w:pPr>
      <w:r w:rsidRPr="0025020E">
        <w:rPr>
          <w:color w:val="548DD4" w:themeColor="text2" w:themeTint="99"/>
        </w:rPr>
        <w:br w:type="page"/>
      </w:r>
      <w:r w:rsidR="00411886" w:rsidRPr="0025020E">
        <w:rPr>
          <w:color w:val="548DD4" w:themeColor="text2" w:themeTint="99"/>
        </w:rPr>
        <w:lastRenderedPageBreak/>
        <w:t>Neighbourhood profile, supporting information</w:t>
      </w:r>
      <w:r w:rsidR="00397137" w:rsidRPr="0025020E">
        <w:rPr>
          <w:color w:val="548DD4" w:themeColor="text2" w:themeTint="99"/>
        </w:rPr>
        <w:t xml:space="preserve"> and views of the local community</w:t>
      </w:r>
    </w:p>
    <w:p w:rsidR="000F1BF9" w:rsidRPr="0025020E" w:rsidRDefault="000F1BF9" w:rsidP="000F1BF9">
      <w:pPr>
        <w:rPr>
          <w:rFonts w:cs="Arial"/>
          <w:color w:val="548DD4" w:themeColor="text2" w:themeTint="99"/>
        </w:rPr>
      </w:pPr>
      <w:r w:rsidRPr="0025020E">
        <w:rPr>
          <w:rFonts w:cs="Arial"/>
          <w:color w:val="548DD4" w:themeColor="text2" w:themeTint="99"/>
        </w:rPr>
        <w:t>The former Cadbury site is being redeveloped by Taylor Wimpey to create a new mixed tenure community in Keynsham. Curo will manage 43 of the homes in phase one, 11 on a shared ownership basis and 32 as social rented dwellings.</w:t>
      </w:r>
    </w:p>
    <w:p w:rsidR="003A13E2" w:rsidRPr="0025020E" w:rsidRDefault="003A13E2" w:rsidP="003A13E2">
      <w:pPr>
        <w:rPr>
          <w:rFonts w:cs="Arial"/>
          <w:color w:val="548DD4" w:themeColor="text2" w:themeTint="99"/>
        </w:rPr>
      </w:pPr>
    </w:p>
    <w:p w:rsidR="000F1BF9" w:rsidRPr="0025020E" w:rsidRDefault="000F1BF9" w:rsidP="000F1BF9">
      <w:pPr>
        <w:rPr>
          <w:rFonts w:cs="Arial"/>
          <w:b/>
          <w:i/>
          <w:color w:val="548DD4" w:themeColor="text2" w:themeTint="99"/>
        </w:rPr>
      </w:pPr>
      <w:r w:rsidRPr="0025020E">
        <w:rPr>
          <w:rFonts w:cs="Arial"/>
          <w:color w:val="548DD4" w:themeColor="text2" w:themeTint="99"/>
        </w:rPr>
        <w:t>Curo has already let some of the houses without a Lettings Plan, and a separate agreement is being prepared with B&amp;NES Council and Sirona for the allocation of the two wheelchair accessible flats, but it is felt that a Lettings Plan would be beneficial when the rest of the properties become available.</w:t>
      </w:r>
    </w:p>
    <w:p w:rsidR="000F1BF9" w:rsidRPr="0025020E" w:rsidRDefault="000F1BF9" w:rsidP="003A13E2">
      <w:pPr>
        <w:rPr>
          <w:rFonts w:cs="Arial"/>
          <w:color w:val="548DD4" w:themeColor="text2" w:themeTint="99"/>
        </w:rPr>
      </w:pPr>
    </w:p>
    <w:tbl>
      <w:tblPr>
        <w:tblW w:w="964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395"/>
        <w:gridCol w:w="1275"/>
        <w:gridCol w:w="3979"/>
      </w:tblGrid>
      <w:tr w:rsidR="0025020E" w:rsidRPr="0025020E" w:rsidTr="000750F2">
        <w:tc>
          <w:tcPr>
            <w:tcW w:w="4395" w:type="dxa"/>
            <w:tcBorders>
              <w:top w:val="single" w:sz="8" w:space="0" w:color="4F81BD"/>
              <w:left w:val="single" w:sz="8" w:space="0" w:color="4F81BD"/>
              <w:bottom w:val="single" w:sz="4" w:space="0" w:color="003F77"/>
              <w:right w:val="nil"/>
            </w:tcBorders>
            <w:shd w:val="clear" w:color="auto" w:fill="FFFFFF"/>
          </w:tcPr>
          <w:p w:rsidR="000750F2" w:rsidRPr="0025020E" w:rsidRDefault="000750F2" w:rsidP="000750F2">
            <w:pPr>
              <w:rPr>
                <w:color w:val="548DD4" w:themeColor="text2" w:themeTint="99"/>
              </w:rPr>
            </w:pPr>
          </w:p>
          <w:p w:rsidR="000750F2" w:rsidRPr="0025020E" w:rsidRDefault="000750F2" w:rsidP="000750F2">
            <w:pPr>
              <w:rPr>
                <w:color w:val="548DD4" w:themeColor="text2" w:themeTint="99"/>
              </w:rPr>
            </w:pPr>
            <w:r w:rsidRPr="0025020E">
              <w:rPr>
                <w:color w:val="548DD4" w:themeColor="text2" w:themeTint="99"/>
              </w:rPr>
              <w:t>Size of accommodation</w:t>
            </w:r>
          </w:p>
          <w:p w:rsidR="000750F2" w:rsidRPr="0025020E" w:rsidRDefault="000750F2" w:rsidP="000750F2">
            <w:pPr>
              <w:rPr>
                <w:color w:val="548DD4" w:themeColor="text2" w:themeTint="99"/>
              </w:rPr>
            </w:pPr>
          </w:p>
        </w:tc>
        <w:tc>
          <w:tcPr>
            <w:tcW w:w="1275" w:type="dxa"/>
            <w:tcBorders>
              <w:top w:val="single" w:sz="8" w:space="0" w:color="4F81BD"/>
              <w:left w:val="nil"/>
              <w:bottom w:val="single" w:sz="4" w:space="0" w:color="003F77"/>
              <w:right w:val="nil"/>
            </w:tcBorders>
            <w:shd w:val="clear" w:color="auto" w:fill="FFFFFF"/>
          </w:tcPr>
          <w:p w:rsidR="000750F2" w:rsidRPr="0025020E" w:rsidRDefault="000750F2" w:rsidP="000750F2">
            <w:pPr>
              <w:rPr>
                <w:color w:val="548DD4" w:themeColor="text2" w:themeTint="99"/>
              </w:rPr>
            </w:pPr>
          </w:p>
          <w:p w:rsidR="000750F2" w:rsidRPr="0025020E" w:rsidRDefault="000750F2" w:rsidP="000750F2">
            <w:pPr>
              <w:rPr>
                <w:color w:val="548DD4" w:themeColor="text2" w:themeTint="99"/>
              </w:rPr>
            </w:pPr>
            <w:r w:rsidRPr="0025020E">
              <w:rPr>
                <w:color w:val="548DD4" w:themeColor="text2" w:themeTint="99"/>
              </w:rPr>
              <w:t xml:space="preserve">Number  </w:t>
            </w:r>
          </w:p>
        </w:tc>
        <w:tc>
          <w:tcPr>
            <w:tcW w:w="3979" w:type="dxa"/>
            <w:tcBorders>
              <w:top w:val="single" w:sz="8" w:space="0" w:color="4F81BD"/>
              <w:left w:val="nil"/>
              <w:bottom w:val="single" w:sz="4" w:space="0" w:color="003F77"/>
              <w:right w:val="single" w:sz="8" w:space="0" w:color="4F81BD"/>
            </w:tcBorders>
            <w:shd w:val="clear" w:color="auto" w:fill="FFFFFF"/>
          </w:tcPr>
          <w:p w:rsidR="000750F2" w:rsidRPr="0025020E" w:rsidRDefault="000750F2" w:rsidP="000750F2">
            <w:pPr>
              <w:rPr>
                <w:color w:val="548DD4" w:themeColor="text2" w:themeTint="99"/>
              </w:rPr>
            </w:pPr>
          </w:p>
          <w:p w:rsidR="000750F2" w:rsidRPr="0025020E" w:rsidRDefault="000750F2" w:rsidP="000750F2">
            <w:pPr>
              <w:rPr>
                <w:color w:val="548DD4" w:themeColor="text2" w:themeTint="99"/>
              </w:rPr>
            </w:pPr>
            <w:r w:rsidRPr="0025020E">
              <w:rPr>
                <w:color w:val="548DD4" w:themeColor="text2" w:themeTint="99"/>
              </w:rPr>
              <w:t>Floor level</w:t>
            </w:r>
          </w:p>
          <w:p w:rsidR="000750F2" w:rsidRPr="0025020E" w:rsidRDefault="000750F2" w:rsidP="000750F2">
            <w:pPr>
              <w:rPr>
                <w:color w:val="548DD4" w:themeColor="text2" w:themeTint="99"/>
              </w:rPr>
            </w:pPr>
          </w:p>
        </w:tc>
      </w:tr>
      <w:tr w:rsidR="0025020E" w:rsidRPr="0025020E" w:rsidTr="000750F2">
        <w:tc>
          <w:tcPr>
            <w:tcW w:w="4395" w:type="dxa"/>
            <w:tcBorders>
              <w:top w:val="single" w:sz="4" w:space="0" w:color="003F77"/>
              <w:left w:val="single" w:sz="8" w:space="0" w:color="4F81BD"/>
              <w:bottom w:val="nil"/>
              <w:right w:val="single" w:sz="8" w:space="0" w:color="4F81BD"/>
            </w:tcBorders>
            <w:hideMark/>
          </w:tcPr>
          <w:p w:rsidR="000750F2" w:rsidRPr="0025020E" w:rsidRDefault="000750F2" w:rsidP="000750F2">
            <w:pPr>
              <w:rPr>
                <w:color w:val="548DD4" w:themeColor="text2" w:themeTint="99"/>
              </w:rPr>
            </w:pPr>
            <w:r w:rsidRPr="0025020E">
              <w:rPr>
                <w:color w:val="548DD4" w:themeColor="text2" w:themeTint="99"/>
              </w:rPr>
              <w:t>1 bed flat (2 persons)</w:t>
            </w:r>
          </w:p>
        </w:tc>
        <w:tc>
          <w:tcPr>
            <w:tcW w:w="1275" w:type="dxa"/>
            <w:tcBorders>
              <w:top w:val="single" w:sz="4" w:space="0" w:color="003F77"/>
              <w:left w:val="nil"/>
              <w:bottom w:val="nil"/>
              <w:right w:val="nil"/>
            </w:tcBorders>
            <w:shd w:val="clear" w:color="auto" w:fill="DBE5F1"/>
            <w:hideMark/>
          </w:tcPr>
          <w:p w:rsidR="000750F2" w:rsidRPr="0025020E" w:rsidRDefault="000750F2" w:rsidP="000750F2">
            <w:pPr>
              <w:jc w:val="center"/>
              <w:rPr>
                <w:color w:val="548DD4" w:themeColor="text2" w:themeTint="99"/>
              </w:rPr>
            </w:pPr>
            <w:r w:rsidRPr="0025020E">
              <w:rPr>
                <w:color w:val="548DD4" w:themeColor="text2" w:themeTint="99"/>
              </w:rPr>
              <w:t>17</w:t>
            </w:r>
          </w:p>
        </w:tc>
        <w:tc>
          <w:tcPr>
            <w:tcW w:w="3979" w:type="dxa"/>
            <w:tcBorders>
              <w:top w:val="single" w:sz="4" w:space="0" w:color="003F77"/>
              <w:left w:val="nil"/>
              <w:bottom w:val="nil"/>
              <w:right w:val="single" w:sz="8" w:space="0" w:color="4F81BD"/>
            </w:tcBorders>
          </w:tcPr>
          <w:p w:rsidR="000750F2" w:rsidRPr="0025020E" w:rsidRDefault="006674AA" w:rsidP="000750F2">
            <w:pPr>
              <w:rPr>
                <w:color w:val="548DD4" w:themeColor="text2" w:themeTint="99"/>
              </w:rPr>
            </w:pPr>
            <w:r>
              <w:rPr>
                <w:color w:val="548DD4" w:themeColor="text2" w:themeTint="99"/>
              </w:rPr>
              <w:t>6</w:t>
            </w:r>
            <w:r w:rsidR="000750F2" w:rsidRPr="0025020E">
              <w:rPr>
                <w:color w:val="548DD4" w:themeColor="text2" w:themeTint="99"/>
              </w:rPr>
              <w:t xml:space="preserve"> ground floor</w:t>
            </w:r>
          </w:p>
          <w:p w:rsidR="000750F2" w:rsidRPr="0025020E" w:rsidRDefault="000750F2" w:rsidP="000750F2">
            <w:pPr>
              <w:rPr>
                <w:color w:val="548DD4" w:themeColor="text2" w:themeTint="99"/>
              </w:rPr>
            </w:pPr>
            <w:r w:rsidRPr="0025020E">
              <w:rPr>
                <w:color w:val="548DD4" w:themeColor="text2" w:themeTint="99"/>
              </w:rPr>
              <w:t>8 first floor</w:t>
            </w:r>
          </w:p>
          <w:p w:rsidR="000750F2" w:rsidRPr="0025020E" w:rsidRDefault="000750F2" w:rsidP="000750F2">
            <w:pPr>
              <w:rPr>
                <w:color w:val="548DD4" w:themeColor="text2" w:themeTint="99"/>
              </w:rPr>
            </w:pPr>
            <w:r w:rsidRPr="0025020E">
              <w:rPr>
                <w:color w:val="548DD4" w:themeColor="text2" w:themeTint="99"/>
              </w:rPr>
              <w:t>3 second floor</w:t>
            </w:r>
          </w:p>
        </w:tc>
      </w:tr>
      <w:tr w:rsidR="0025020E" w:rsidRPr="0025020E" w:rsidTr="000750F2">
        <w:tc>
          <w:tcPr>
            <w:tcW w:w="4395" w:type="dxa"/>
            <w:tcBorders>
              <w:top w:val="nil"/>
              <w:left w:val="single" w:sz="8" w:space="0" w:color="4F81BD"/>
              <w:bottom w:val="nil"/>
              <w:right w:val="single" w:sz="8" w:space="0" w:color="4F81BD"/>
            </w:tcBorders>
            <w:hideMark/>
          </w:tcPr>
          <w:p w:rsidR="000750F2" w:rsidRPr="0025020E" w:rsidRDefault="000750F2" w:rsidP="000750F2">
            <w:pPr>
              <w:rPr>
                <w:color w:val="548DD4" w:themeColor="text2" w:themeTint="99"/>
              </w:rPr>
            </w:pPr>
            <w:r w:rsidRPr="0025020E">
              <w:rPr>
                <w:color w:val="548DD4" w:themeColor="text2" w:themeTint="99"/>
              </w:rPr>
              <w:t>1 bed wheelchair accessible flat (2 persons)</w:t>
            </w:r>
          </w:p>
        </w:tc>
        <w:tc>
          <w:tcPr>
            <w:tcW w:w="1275" w:type="dxa"/>
            <w:tcBorders>
              <w:top w:val="nil"/>
              <w:left w:val="nil"/>
              <w:bottom w:val="nil"/>
              <w:right w:val="nil"/>
            </w:tcBorders>
            <w:shd w:val="clear" w:color="auto" w:fill="DBE5F1"/>
            <w:hideMark/>
          </w:tcPr>
          <w:p w:rsidR="000750F2" w:rsidRPr="0025020E" w:rsidRDefault="000750F2" w:rsidP="000750F2">
            <w:pPr>
              <w:jc w:val="center"/>
              <w:rPr>
                <w:color w:val="548DD4" w:themeColor="text2" w:themeTint="99"/>
              </w:rPr>
            </w:pPr>
            <w:r w:rsidRPr="0025020E">
              <w:rPr>
                <w:color w:val="548DD4" w:themeColor="text2" w:themeTint="99"/>
              </w:rPr>
              <w:t xml:space="preserve"> 2</w:t>
            </w:r>
          </w:p>
        </w:tc>
        <w:tc>
          <w:tcPr>
            <w:tcW w:w="3979" w:type="dxa"/>
            <w:tcBorders>
              <w:top w:val="nil"/>
              <w:left w:val="nil"/>
              <w:bottom w:val="nil"/>
              <w:right w:val="single" w:sz="8" w:space="0" w:color="4F81BD"/>
            </w:tcBorders>
          </w:tcPr>
          <w:p w:rsidR="000750F2" w:rsidRPr="0025020E" w:rsidRDefault="000750F2" w:rsidP="000750F2">
            <w:pPr>
              <w:rPr>
                <w:color w:val="548DD4" w:themeColor="text2" w:themeTint="99"/>
              </w:rPr>
            </w:pPr>
            <w:r w:rsidRPr="0025020E">
              <w:rPr>
                <w:color w:val="548DD4" w:themeColor="text2" w:themeTint="99"/>
              </w:rPr>
              <w:t>ground floor</w:t>
            </w:r>
          </w:p>
        </w:tc>
      </w:tr>
      <w:tr w:rsidR="0025020E" w:rsidRPr="0025020E" w:rsidTr="000750F2">
        <w:tc>
          <w:tcPr>
            <w:tcW w:w="4395" w:type="dxa"/>
            <w:tcBorders>
              <w:top w:val="nil"/>
              <w:left w:val="single" w:sz="8" w:space="0" w:color="4F81BD"/>
              <w:bottom w:val="nil"/>
              <w:right w:val="single" w:sz="8" w:space="0" w:color="4F81BD"/>
            </w:tcBorders>
          </w:tcPr>
          <w:p w:rsidR="000750F2" w:rsidRPr="0025020E" w:rsidRDefault="000750F2" w:rsidP="000750F2">
            <w:pPr>
              <w:rPr>
                <w:color w:val="548DD4" w:themeColor="text2" w:themeTint="99"/>
              </w:rPr>
            </w:pPr>
            <w:r w:rsidRPr="0025020E">
              <w:rPr>
                <w:color w:val="548DD4" w:themeColor="text2" w:themeTint="99"/>
              </w:rPr>
              <w:t>2 bed house (4 persons)</w:t>
            </w:r>
          </w:p>
        </w:tc>
        <w:tc>
          <w:tcPr>
            <w:tcW w:w="1275" w:type="dxa"/>
            <w:tcBorders>
              <w:top w:val="nil"/>
              <w:left w:val="nil"/>
              <w:bottom w:val="nil"/>
              <w:right w:val="nil"/>
            </w:tcBorders>
            <w:shd w:val="clear" w:color="auto" w:fill="DBE5F1"/>
          </w:tcPr>
          <w:p w:rsidR="000750F2" w:rsidRPr="0025020E" w:rsidRDefault="000750F2" w:rsidP="000750F2">
            <w:pPr>
              <w:jc w:val="center"/>
              <w:rPr>
                <w:color w:val="548DD4" w:themeColor="text2" w:themeTint="99"/>
              </w:rPr>
            </w:pPr>
            <w:r w:rsidRPr="0025020E">
              <w:rPr>
                <w:color w:val="548DD4" w:themeColor="text2" w:themeTint="99"/>
              </w:rPr>
              <w:t>11</w:t>
            </w:r>
          </w:p>
        </w:tc>
        <w:tc>
          <w:tcPr>
            <w:tcW w:w="3979" w:type="dxa"/>
            <w:tcBorders>
              <w:top w:val="nil"/>
              <w:left w:val="nil"/>
              <w:bottom w:val="nil"/>
              <w:right w:val="single" w:sz="8" w:space="0" w:color="4F81BD"/>
            </w:tcBorders>
          </w:tcPr>
          <w:p w:rsidR="000750F2" w:rsidRPr="0025020E" w:rsidRDefault="000750F2" w:rsidP="000750F2">
            <w:pPr>
              <w:rPr>
                <w:color w:val="548DD4" w:themeColor="text2" w:themeTint="99"/>
              </w:rPr>
            </w:pPr>
          </w:p>
        </w:tc>
      </w:tr>
      <w:tr w:rsidR="0025020E" w:rsidRPr="0025020E" w:rsidTr="000750F2">
        <w:tc>
          <w:tcPr>
            <w:tcW w:w="4395" w:type="dxa"/>
            <w:tcBorders>
              <w:top w:val="nil"/>
              <w:left w:val="single" w:sz="8" w:space="0" w:color="4F81BD"/>
              <w:bottom w:val="single" w:sz="4" w:space="0" w:color="003F77"/>
              <w:right w:val="single" w:sz="8" w:space="0" w:color="4F81BD"/>
            </w:tcBorders>
          </w:tcPr>
          <w:p w:rsidR="000750F2" w:rsidRPr="0025020E" w:rsidRDefault="000750F2" w:rsidP="000750F2">
            <w:pPr>
              <w:rPr>
                <w:color w:val="548DD4" w:themeColor="text2" w:themeTint="99"/>
              </w:rPr>
            </w:pPr>
            <w:r w:rsidRPr="0025020E">
              <w:rPr>
                <w:color w:val="548DD4" w:themeColor="text2" w:themeTint="99"/>
              </w:rPr>
              <w:t>4 bed house (6 persons)</w:t>
            </w:r>
          </w:p>
        </w:tc>
        <w:tc>
          <w:tcPr>
            <w:tcW w:w="1275" w:type="dxa"/>
            <w:tcBorders>
              <w:top w:val="nil"/>
              <w:left w:val="nil"/>
              <w:bottom w:val="single" w:sz="4" w:space="0" w:color="003F77"/>
              <w:right w:val="nil"/>
            </w:tcBorders>
            <w:shd w:val="clear" w:color="auto" w:fill="DBE5F1"/>
          </w:tcPr>
          <w:p w:rsidR="000750F2" w:rsidRPr="0025020E" w:rsidRDefault="000750F2" w:rsidP="000750F2">
            <w:pPr>
              <w:tabs>
                <w:tab w:val="left" w:pos="750"/>
              </w:tabs>
              <w:jc w:val="center"/>
              <w:rPr>
                <w:color w:val="548DD4" w:themeColor="text2" w:themeTint="99"/>
              </w:rPr>
            </w:pPr>
            <w:r w:rsidRPr="0025020E">
              <w:rPr>
                <w:color w:val="548DD4" w:themeColor="text2" w:themeTint="99"/>
              </w:rPr>
              <w:t xml:space="preserve"> 2</w:t>
            </w:r>
          </w:p>
        </w:tc>
        <w:tc>
          <w:tcPr>
            <w:tcW w:w="3979" w:type="dxa"/>
            <w:tcBorders>
              <w:top w:val="nil"/>
              <w:left w:val="nil"/>
              <w:bottom w:val="single" w:sz="4" w:space="0" w:color="003F77"/>
              <w:right w:val="single" w:sz="8" w:space="0" w:color="4F81BD"/>
            </w:tcBorders>
          </w:tcPr>
          <w:p w:rsidR="000750F2" w:rsidRPr="0025020E" w:rsidRDefault="000750F2" w:rsidP="000750F2">
            <w:pPr>
              <w:rPr>
                <w:color w:val="548DD4" w:themeColor="text2" w:themeTint="99"/>
              </w:rPr>
            </w:pPr>
          </w:p>
        </w:tc>
      </w:tr>
    </w:tbl>
    <w:p w:rsidR="000750F2" w:rsidRPr="0025020E" w:rsidRDefault="000750F2" w:rsidP="000750F2">
      <w:pPr>
        <w:rPr>
          <w:color w:val="548DD4" w:themeColor="text2" w:themeTint="99"/>
        </w:rPr>
      </w:pPr>
    </w:p>
    <w:p w:rsidR="00411886" w:rsidRPr="0025020E" w:rsidRDefault="00411886" w:rsidP="0068141A">
      <w:pPr>
        <w:pStyle w:val="Heading1"/>
        <w:rPr>
          <w:color w:val="548DD4" w:themeColor="text2" w:themeTint="99"/>
        </w:rPr>
      </w:pPr>
      <w:r w:rsidRPr="0025020E">
        <w:rPr>
          <w:color w:val="548DD4" w:themeColor="text2" w:themeTint="99"/>
        </w:rPr>
        <w:t>Purpose of the plan</w:t>
      </w:r>
    </w:p>
    <w:p w:rsidR="000F1BF9" w:rsidRPr="0025020E" w:rsidRDefault="000F1BF9" w:rsidP="000F1BF9">
      <w:pPr>
        <w:rPr>
          <w:color w:val="548DD4" w:themeColor="text2" w:themeTint="99"/>
        </w:rPr>
      </w:pPr>
      <w:r w:rsidRPr="0025020E">
        <w:rPr>
          <w:color w:val="548DD4" w:themeColor="text2" w:themeTint="99"/>
        </w:rPr>
        <w:t>The purpose of this plan is to ensure that housing allocations to the Somerdale development help to create a mixed and sustainable community and contribute to making Bath &amp; North East Somerset an even better place to live, work and visit</w:t>
      </w:r>
      <w:r w:rsidR="00B60D9E" w:rsidRPr="0025020E">
        <w:rPr>
          <w:color w:val="548DD4" w:themeColor="text2" w:themeTint="99"/>
        </w:rPr>
        <w:t xml:space="preserve"> and </w:t>
      </w:r>
      <w:r w:rsidRPr="0025020E">
        <w:rPr>
          <w:color w:val="548DD4" w:themeColor="text2" w:themeTint="99"/>
        </w:rPr>
        <w:t>to achieve the following objectives:</w:t>
      </w:r>
    </w:p>
    <w:p w:rsidR="000F1BF9" w:rsidRPr="0025020E" w:rsidRDefault="000F1BF9" w:rsidP="000F1BF9">
      <w:pPr>
        <w:rPr>
          <w:color w:val="548DD4" w:themeColor="text2" w:themeTint="99"/>
        </w:rPr>
      </w:pPr>
    </w:p>
    <w:p w:rsidR="000F1BF9" w:rsidRPr="0025020E" w:rsidRDefault="000F1BF9" w:rsidP="000F1BF9">
      <w:pPr>
        <w:numPr>
          <w:ilvl w:val="1"/>
          <w:numId w:val="8"/>
        </w:numPr>
        <w:rPr>
          <w:color w:val="548DD4" w:themeColor="text2" w:themeTint="99"/>
        </w:rPr>
      </w:pPr>
      <w:r w:rsidRPr="0025020E">
        <w:rPr>
          <w:color w:val="548DD4" w:themeColor="text2" w:themeTint="99"/>
        </w:rPr>
        <w:t>A sustainable community that enhances the neighbourhood, where people will choose to live into the future</w:t>
      </w:r>
    </w:p>
    <w:p w:rsidR="000F1BF9" w:rsidRPr="0025020E" w:rsidRDefault="000F1BF9" w:rsidP="000F1BF9">
      <w:pPr>
        <w:numPr>
          <w:ilvl w:val="1"/>
          <w:numId w:val="8"/>
        </w:numPr>
        <w:rPr>
          <w:color w:val="548DD4" w:themeColor="text2" w:themeTint="99"/>
        </w:rPr>
      </w:pPr>
      <w:r w:rsidRPr="0025020E">
        <w:rPr>
          <w:color w:val="548DD4" w:themeColor="text2" w:themeTint="99"/>
        </w:rPr>
        <w:t>A diverse community that encourages employment and fosters long-lasting tenancies.</w:t>
      </w:r>
    </w:p>
    <w:p w:rsidR="000F1BF9" w:rsidRPr="0025020E" w:rsidRDefault="000F1BF9" w:rsidP="000F1BF9">
      <w:pPr>
        <w:numPr>
          <w:ilvl w:val="1"/>
          <w:numId w:val="8"/>
        </w:numPr>
        <w:rPr>
          <w:color w:val="548DD4" w:themeColor="text2" w:themeTint="99"/>
        </w:rPr>
      </w:pPr>
      <w:r w:rsidRPr="0025020E">
        <w:rPr>
          <w:color w:val="548DD4" w:themeColor="text2" w:themeTint="99"/>
        </w:rPr>
        <w:t>A range of family sizes with children of different ages.</w:t>
      </w:r>
    </w:p>
    <w:p w:rsidR="00F00979" w:rsidRPr="0025020E" w:rsidRDefault="00F00979" w:rsidP="00F00979">
      <w:pPr>
        <w:pStyle w:val="Heading1"/>
        <w:rPr>
          <w:color w:val="548DD4" w:themeColor="text2" w:themeTint="99"/>
        </w:rPr>
      </w:pPr>
      <w:r w:rsidRPr="0025020E">
        <w:rPr>
          <w:color w:val="548DD4" w:themeColor="text2" w:themeTint="99"/>
        </w:rPr>
        <w:t>Objectives</w:t>
      </w:r>
      <w:r w:rsidR="00A15B3B" w:rsidRPr="0025020E">
        <w:rPr>
          <w:color w:val="548DD4" w:themeColor="text2" w:themeTint="99"/>
        </w:rPr>
        <w:t xml:space="preserve"> </w:t>
      </w:r>
    </w:p>
    <w:p w:rsidR="000F1BF9" w:rsidRPr="0025020E" w:rsidRDefault="00AA7D84" w:rsidP="000F1BF9">
      <w:pPr>
        <w:rPr>
          <w:color w:val="548DD4" w:themeColor="text2" w:themeTint="99"/>
        </w:rPr>
      </w:pPr>
      <w:r w:rsidRPr="0025020E">
        <w:rPr>
          <w:color w:val="548DD4" w:themeColor="text2" w:themeTint="99"/>
        </w:rPr>
        <w:t xml:space="preserve"> </w:t>
      </w:r>
      <w:r w:rsidR="000F1BF9" w:rsidRPr="0025020E">
        <w:rPr>
          <w:color w:val="548DD4" w:themeColor="text2" w:themeTint="99"/>
        </w:rPr>
        <w:t xml:space="preserve">We will advertise and allocate these homes in line with B&amp;NES </w:t>
      </w:r>
      <w:proofErr w:type="spellStart"/>
      <w:r w:rsidR="000F1BF9" w:rsidRPr="0025020E">
        <w:rPr>
          <w:color w:val="548DD4" w:themeColor="text2" w:themeTint="99"/>
        </w:rPr>
        <w:t>Homesearch’s</w:t>
      </w:r>
      <w:proofErr w:type="spellEnd"/>
      <w:r w:rsidR="000F1BF9" w:rsidRPr="0025020E">
        <w:rPr>
          <w:color w:val="548DD4" w:themeColor="text2" w:themeTint="99"/>
        </w:rPr>
        <w:t xml:space="preserve"> </w:t>
      </w:r>
      <w:r w:rsidR="00B60D9E" w:rsidRPr="0025020E">
        <w:rPr>
          <w:color w:val="548DD4" w:themeColor="text2" w:themeTint="99"/>
        </w:rPr>
        <w:t>allocation scheme</w:t>
      </w:r>
      <w:r w:rsidR="000F1BF9" w:rsidRPr="0025020E">
        <w:rPr>
          <w:color w:val="548DD4" w:themeColor="text2" w:themeTint="99"/>
        </w:rPr>
        <w:t xml:space="preserve"> and </w:t>
      </w:r>
      <w:proofErr w:type="spellStart"/>
      <w:r w:rsidR="000F1BF9" w:rsidRPr="0025020E">
        <w:rPr>
          <w:color w:val="548DD4" w:themeColor="text2" w:themeTint="99"/>
        </w:rPr>
        <w:t>Curo’s</w:t>
      </w:r>
      <w:proofErr w:type="spellEnd"/>
      <w:r w:rsidR="000F1BF9" w:rsidRPr="0025020E">
        <w:rPr>
          <w:color w:val="548DD4" w:themeColor="text2" w:themeTint="99"/>
        </w:rPr>
        <w:t xml:space="preserve"> allocation policy and procedures. Where choice-based lettings fail to achieve the above objectives Curo will be able to overlook applicants in consultation with B&amp;NES Homesearch.</w:t>
      </w:r>
    </w:p>
    <w:p w:rsidR="000F1BF9" w:rsidRPr="0025020E" w:rsidRDefault="000F1BF9" w:rsidP="000F1BF9">
      <w:pPr>
        <w:rPr>
          <w:color w:val="548DD4" w:themeColor="text2" w:themeTint="99"/>
        </w:rPr>
      </w:pPr>
    </w:p>
    <w:p w:rsidR="000F1BF9" w:rsidRPr="0025020E" w:rsidRDefault="000F1BF9" w:rsidP="000F1BF9">
      <w:pPr>
        <w:rPr>
          <w:color w:val="548DD4" w:themeColor="text2" w:themeTint="99"/>
        </w:rPr>
      </w:pPr>
      <w:r w:rsidRPr="0025020E">
        <w:rPr>
          <w:color w:val="548DD4" w:themeColor="text2" w:themeTint="99"/>
        </w:rPr>
        <w:t>To this end, it is agreed that:</w:t>
      </w:r>
    </w:p>
    <w:p w:rsidR="000F1BF9" w:rsidRPr="0025020E" w:rsidRDefault="000F1BF9" w:rsidP="000F1BF9">
      <w:pPr>
        <w:rPr>
          <w:color w:val="548DD4" w:themeColor="text2" w:themeTint="99"/>
        </w:rPr>
      </w:pPr>
    </w:p>
    <w:p w:rsidR="000F1BF9" w:rsidRPr="0025020E" w:rsidRDefault="000F1BF9" w:rsidP="000F1BF9">
      <w:pPr>
        <w:numPr>
          <w:ilvl w:val="0"/>
          <w:numId w:val="9"/>
        </w:numPr>
        <w:rPr>
          <w:color w:val="548DD4" w:themeColor="text2" w:themeTint="99"/>
        </w:rPr>
      </w:pPr>
      <w:r w:rsidRPr="0025020E">
        <w:rPr>
          <w:color w:val="548DD4" w:themeColor="text2" w:themeTint="99"/>
        </w:rPr>
        <w:t>There is an aim to have at least 50% of residents in employment across all of these homes. Those participating in dedicated training schemes or back to work initiatives will be deemed to be ‘in employment’ provided 30% of residents as a whole are in paid work.</w:t>
      </w:r>
    </w:p>
    <w:p w:rsidR="0019461B" w:rsidRPr="0025020E" w:rsidRDefault="0019461B" w:rsidP="0019461B">
      <w:pPr>
        <w:ind w:left="567"/>
        <w:rPr>
          <w:color w:val="548DD4" w:themeColor="text2" w:themeTint="99"/>
        </w:rPr>
      </w:pPr>
    </w:p>
    <w:p w:rsidR="0019461B" w:rsidRPr="0025020E" w:rsidRDefault="0019461B" w:rsidP="0019461B">
      <w:pPr>
        <w:numPr>
          <w:ilvl w:val="0"/>
          <w:numId w:val="10"/>
        </w:numPr>
        <w:jc w:val="both"/>
        <w:rPr>
          <w:rFonts w:ascii="Verdana" w:hAnsi="Verdana"/>
          <w:color w:val="548DD4" w:themeColor="text2" w:themeTint="99"/>
        </w:rPr>
      </w:pPr>
      <w:r w:rsidRPr="0025020E">
        <w:rPr>
          <w:rFonts w:ascii="Verdana" w:hAnsi="Verdana"/>
          <w:color w:val="548DD4" w:themeColor="text2" w:themeTint="99"/>
        </w:rPr>
        <w:lastRenderedPageBreak/>
        <w:t>Allocations of houses and flats will be made to households with a range of ages and numbers of adults and children, ensuring a mix of single people, couples and differently-aged children in each locality. This will also include adult-only households requiring two bedrooms.</w:t>
      </w:r>
    </w:p>
    <w:p w:rsidR="0019461B" w:rsidRPr="0025020E" w:rsidRDefault="0019461B" w:rsidP="0019461B">
      <w:pPr>
        <w:ind w:left="360"/>
        <w:rPr>
          <w:color w:val="548DD4" w:themeColor="text2" w:themeTint="99"/>
        </w:rPr>
      </w:pPr>
    </w:p>
    <w:p w:rsidR="000F1BF9" w:rsidRPr="0025020E" w:rsidRDefault="000F1BF9" w:rsidP="0019461B">
      <w:pPr>
        <w:numPr>
          <w:ilvl w:val="0"/>
          <w:numId w:val="9"/>
        </w:numPr>
        <w:rPr>
          <w:color w:val="548DD4" w:themeColor="text2" w:themeTint="99"/>
        </w:rPr>
      </w:pPr>
      <w:r w:rsidRPr="0025020E">
        <w:rPr>
          <w:color w:val="548DD4" w:themeColor="text2" w:themeTint="99"/>
        </w:rPr>
        <w:t>Curo will take into account the overall needs profile of highly placed applicants across the site when considering bids from people requiring high levels of support. Where a certain combination of residents is likely to be unsustainable either for the individuals concerned or for the community as a whole their application will be rejected.</w:t>
      </w:r>
    </w:p>
    <w:p w:rsidR="000F1BF9" w:rsidRPr="0025020E" w:rsidRDefault="000F1BF9" w:rsidP="000F1BF9">
      <w:pPr>
        <w:rPr>
          <w:color w:val="548DD4" w:themeColor="text2" w:themeTint="99"/>
        </w:rPr>
      </w:pPr>
    </w:p>
    <w:p w:rsidR="000F1BF9" w:rsidRPr="0025020E" w:rsidRDefault="000F1BF9" w:rsidP="000F1BF9">
      <w:pPr>
        <w:rPr>
          <w:color w:val="548DD4" w:themeColor="text2" w:themeTint="99"/>
        </w:rPr>
      </w:pPr>
      <w:r w:rsidRPr="0025020E">
        <w:rPr>
          <w:color w:val="548DD4" w:themeColor="text2" w:themeTint="99"/>
        </w:rPr>
        <w:t xml:space="preserve">This Plan complements </w:t>
      </w:r>
      <w:proofErr w:type="spellStart"/>
      <w:r w:rsidRPr="0025020E">
        <w:rPr>
          <w:color w:val="548DD4" w:themeColor="text2" w:themeTint="99"/>
        </w:rPr>
        <w:t>Curo’s</w:t>
      </w:r>
      <w:proofErr w:type="spellEnd"/>
      <w:r w:rsidRPr="0025020E">
        <w:rPr>
          <w:color w:val="548DD4" w:themeColor="text2" w:themeTint="99"/>
        </w:rPr>
        <w:t xml:space="preserve"> standard procedure of completing a Success Plan, receiving satisfactory references and an initial rent payment ahead of any new tenancy being created.</w:t>
      </w:r>
    </w:p>
    <w:p w:rsidR="00F00979" w:rsidRPr="0025020E" w:rsidRDefault="00F00979" w:rsidP="000F1BF9">
      <w:pPr>
        <w:rPr>
          <w:color w:val="548DD4" w:themeColor="text2" w:themeTint="99"/>
        </w:rPr>
      </w:pPr>
    </w:p>
    <w:p w:rsidR="00BC7D57" w:rsidRPr="0025020E" w:rsidRDefault="00686FC0" w:rsidP="00F00979">
      <w:pPr>
        <w:rPr>
          <w:color w:val="548DD4" w:themeColor="text2" w:themeTint="99"/>
        </w:rPr>
      </w:pPr>
      <w:r w:rsidRPr="0025020E">
        <w:rPr>
          <w:color w:val="548DD4" w:themeColor="text2" w:themeTint="99"/>
        </w:rPr>
        <w:t>The flats</w:t>
      </w:r>
      <w:r w:rsidR="008851D2" w:rsidRPr="0025020E">
        <w:rPr>
          <w:color w:val="548DD4" w:themeColor="text2" w:themeTint="99"/>
        </w:rPr>
        <w:t xml:space="preserve"> will be advertised to all g</w:t>
      </w:r>
      <w:r w:rsidR="00F00979" w:rsidRPr="0025020E">
        <w:rPr>
          <w:color w:val="548DD4" w:themeColor="text2" w:themeTint="99"/>
        </w:rPr>
        <w:t>roups on the Homesearch</w:t>
      </w:r>
      <w:r w:rsidR="00BC7D57" w:rsidRPr="0025020E">
        <w:rPr>
          <w:color w:val="548DD4" w:themeColor="text2" w:themeTint="99"/>
        </w:rPr>
        <w:t xml:space="preserve"> Allocation</w:t>
      </w:r>
      <w:r w:rsidR="00F00979" w:rsidRPr="0025020E">
        <w:rPr>
          <w:color w:val="548DD4" w:themeColor="text2" w:themeTint="99"/>
        </w:rPr>
        <w:t xml:space="preserve"> Scheme.  </w:t>
      </w:r>
    </w:p>
    <w:p w:rsidR="00BC7D57" w:rsidRPr="0025020E" w:rsidRDefault="00BC7D57" w:rsidP="00F00979">
      <w:pPr>
        <w:rPr>
          <w:color w:val="548DD4" w:themeColor="text2" w:themeTint="99"/>
        </w:rPr>
      </w:pPr>
    </w:p>
    <w:p w:rsidR="008851D2" w:rsidRPr="0025020E" w:rsidRDefault="002F5304" w:rsidP="00F00979">
      <w:pPr>
        <w:rPr>
          <w:color w:val="548DD4" w:themeColor="text2" w:themeTint="99"/>
        </w:rPr>
      </w:pPr>
      <w:r w:rsidRPr="0025020E">
        <w:rPr>
          <w:color w:val="548DD4" w:themeColor="text2" w:themeTint="99"/>
        </w:rPr>
        <w:t>W</w:t>
      </w:r>
      <w:r w:rsidR="00F00979" w:rsidRPr="0025020E">
        <w:rPr>
          <w:color w:val="548DD4" w:themeColor="text2" w:themeTint="99"/>
        </w:rPr>
        <w:t>here it is reasonable</w:t>
      </w:r>
      <w:r w:rsidRPr="0025020E">
        <w:rPr>
          <w:color w:val="548DD4" w:themeColor="text2" w:themeTint="99"/>
        </w:rPr>
        <w:t xml:space="preserve">, applicants may be </w:t>
      </w:r>
      <w:r w:rsidR="008851D2" w:rsidRPr="0025020E">
        <w:rPr>
          <w:color w:val="548DD4" w:themeColor="text2" w:themeTint="99"/>
        </w:rPr>
        <w:t>refused accommodation</w:t>
      </w:r>
      <w:r w:rsidR="006D1665" w:rsidRPr="0025020E">
        <w:rPr>
          <w:color w:val="548DD4" w:themeColor="text2" w:themeTint="99"/>
        </w:rPr>
        <w:t xml:space="preserve"> on the development </w:t>
      </w:r>
      <w:r w:rsidRPr="0025020E">
        <w:rPr>
          <w:color w:val="548DD4" w:themeColor="text2" w:themeTint="99"/>
        </w:rPr>
        <w:t>to</w:t>
      </w:r>
      <w:r w:rsidR="00F00979" w:rsidRPr="0025020E">
        <w:rPr>
          <w:color w:val="548DD4" w:themeColor="text2" w:themeTint="99"/>
        </w:rPr>
        <w:t xml:space="preserve"> </w:t>
      </w:r>
      <w:r w:rsidRPr="0025020E">
        <w:rPr>
          <w:color w:val="548DD4" w:themeColor="text2" w:themeTint="99"/>
        </w:rPr>
        <w:t>ensu</w:t>
      </w:r>
      <w:r w:rsidR="006D1665" w:rsidRPr="0025020E">
        <w:rPr>
          <w:color w:val="548DD4" w:themeColor="text2" w:themeTint="99"/>
        </w:rPr>
        <w:t>r</w:t>
      </w:r>
      <w:r w:rsidRPr="0025020E">
        <w:rPr>
          <w:color w:val="548DD4" w:themeColor="text2" w:themeTint="99"/>
        </w:rPr>
        <w:t>e that a mixed and</w:t>
      </w:r>
      <w:r w:rsidR="00A15B3B" w:rsidRPr="0025020E">
        <w:rPr>
          <w:color w:val="548DD4" w:themeColor="text2" w:themeTint="99"/>
        </w:rPr>
        <w:t xml:space="preserve"> sustainable community</w:t>
      </w:r>
      <w:r w:rsidRPr="0025020E">
        <w:rPr>
          <w:color w:val="548DD4" w:themeColor="text2" w:themeTint="99"/>
        </w:rPr>
        <w:t xml:space="preserve"> is created</w:t>
      </w:r>
      <w:r w:rsidR="006D1665" w:rsidRPr="0025020E">
        <w:rPr>
          <w:color w:val="548DD4" w:themeColor="text2" w:themeTint="99"/>
        </w:rPr>
        <w:t>.</w:t>
      </w:r>
      <w:r w:rsidR="00A15B3B" w:rsidRPr="0025020E">
        <w:rPr>
          <w:color w:val="548DD4" w:themeColor="text2" w:themeTint="99"/>
        </w:rPr>
        <w:t xml:space="preserve"> </w:t>
      </w:r>
      <w:r w:rsidR="008851D2" w:rsidRPr="0025020E">
        <w:rPr>
          <w:color w:val="548DD4" w:themeColor="text2" w:themeTint="99"/>
        </w:rPr>
        <w:t xml:space="preserve">For example applicants with a history of anti-social behaviour or previous tenancy management issues may be refused accommodation on the development.  </w:t>
      </w:r>
    </w:p>
    <w:p w:rsidR="004F1CDE" w:rsidRPr="0025020E" w:rsidRDefault="004F1CDE" w:rsidP="0068141A">
      <w:pPr>
        <w:pStyle w:val="Heading1"/>
        <w:rPr>
          <w:color w:val="548DD4" w:themeColor="text2" w:themeTint="99"/>
        </w:rPr>
      </w:pPr>
      <w:r w:rsidRPr="0025020E">
        <w:rPr>
          <w:color w:val="548DD4" w:themeColor="text2" w:themeTint="99"/>
        </w:rPr>
        <w:t>Further Phases</w:t>
      </w:r>
    </w:p>
    <w:p w:rsidR="004F1CDE" w:rsidRPr="0025020E" w:rsidRDefault="004F1CDE" w:rsidP="004F1CDE">
      <w:pPr>
        <w:rPr>
          <w:color w:val="548DD4" w:themeColor="text2" w:themeTint="99"/>
        </w:rPr>
      </w:pPr>
      <w:r w:rsidRPr="0025020E">
        <w:rPr>
          <w:color w:val="548DD4" w:themeColor="text2" w:themeTint="99"/>
        </w:rPr>
        <w:t xml:space="preserve">This Lettings Plan will be replicated for further phases on this development. Full details of further phases on this development will be available on the Homesearch website at </w:t>
      </w:r>
      <w:hyperlink r:id="rId16" w:history="1">
        <w:proofErr w:type="spellStart"/>
        <w:r w:rsidRPr="0025020E">
          <w:rPr>
            <w:rStyle w:val="Hyperlink"/>
            <w:color w:val="548DD4" w:themeColor="text2" w:themeTint="99"/>
          </w:rPr>
          <w:t>www.homesearchbathnes.org.uk</w:t>
        </w:r>
        <w:proofErr w:type="spellEnd"/>
      </w:hyperlink>
      <w:r w:rsidRPr="0025020E">
        <w:rPr>
          <w:color w:val="548DD4" w:themeColor="text2" w:themeTint="99"/>
        </w:rPr>
        <w:t xml:space="preserve">.  </w:t>
      </w:r>
    </w:p>
    <w:p w:rsidR="00411886" w:rsidRPr="0025020E" w:rsidRDefault="00411886" w:rsidP="0068141A">
      <w:pPr>
        <w:pStyle w:val="Heading1"/>
        <w:rPr>
          <w:color w:val="548DD4" w:themeColor="text2" w:themeTint="99"/>
        </w:rPr>
      </w:pPr>
      <w:r w:rsidRPr="0025020E">
        <w:rPr>
          <w:color w:val="548DD4" w:themeColor="text2" w:themeTint="99"/>
        </w:rPr>
        <w:t>Timescale</w:t>
      </w:r>
    </w:p>
    <w:p w:rsidR="0068141A" w:rsidRPr="0025020E" w:rsidRDefault="005A1820" w:rsidP="0068141A">
      <w:pPr>
        <w:rPr>
          <w:rFonts w:cs="Arial"/>
          <w:color w:val="548DD4" w:themeColor="text2" w:themeTint="99"/>
        </w:rPr>
      </w:pPr>
      <w:r w:rsidRPr="0025020E">
        <w:rPr>
          <w:rFonts w:cs="Arial"/>
          <w:color w:val="548DD4" w:themeColor="text2" w:themeTint="99"/>
        </w:rPr>
        <w:t xml:space="preserve">The plan </w:t>
      </w:r>
      <w:r w:rsidR="004F1CDE" w:rsidRPr="0025020E">
        <w:rPr>
          <w:rFonts w:cs="Arial"/>
          <w:color w:val="548DD4" w:themeColor="text2" w:themeTint="99"/>
        </w:rPr>
        <w:t xml:space="preserve">for this phase </w:t>
      </w:r>
      <w:r w:rsidRPr="0025020E">
        <w:rPr>
          <w:rFonts w:cs="Arial"/>
          <w:color w:val="548DD4" w:themeColor="text2" w:themeTint="99"/>
        </w:rPr>
        <w:t>will commence i</w:t>
      </w:r>
      <w:r w:rsidR="0068141A" w:rsidRPr="0025020E">
        <w:rPr>
          <w:rFonts w:cs="Arial"/>
          <w:color w:val="548DD4" w:themeColor="text2" w:themeTint="99"/>
        </w:rPr>
        <w:t xml:space="preserve">n </w:t>
      </w:r>
      <w:r w:rsidR="000F1BF9" w:rsidRPr="0025020E">
        <w:rPr>
          <w:rFonts w:cs="Arial"/>
          <w:color w:val="548DD4" w:themeColor="text2" w:themeTint="99"/>
        </w:rPr>
        <w:t>August 2016</w:t>
      </w:r>
      <w:r w:rsidR="0068141A" w:rsidRPr="0025020E">
        <w:rPr>
          <w:rFonts w:cs="Arial"/>
          <w:color w:val="548DD4" w:themeColor="text2" w:themeTint="99"/>
        </w:rPr>
        <w:t xml:space="preserve"> and will be operational initially for 12 months.</w:t>
      </w:r>
    </w:p>
    <w:p w:rsidR="00411886" w:rsidRPr="0025020E" w:rsidRDefault="00411886" w:rsidP="0068141A">
      <w:pPr>
        <w:pStyle w:val="Heading1"/>
        <w:rPr>
          <w:color w:val="548DD4" w:themeColor="text2" w:themeTint="99"/>
        </w:rPr>
      </w:pPr>
      <w:r w:rsidRPr="0025020E">
        <w:rPr>
          <w:color w:val="548DD4" w:themeColor="text2" w:themeTint="99"/>
        </w:rPr>
        <w:t>Review date</w:t>
      </w:r>
    </w:p>
    <w:p w:rsidR="005F5693" w:rsidRPr="0025020E" w:rsidRDefault="0068141A" w:rsidP="0068141A">
      <w:pPr>
        <w:rPr>
          <w:color w:val="548DD4" w:themeColor="text2" w:themeTint="99"/>
        </w:rPr>
      </w:pPr>
      <w:r w:rsidRPr="0025020E">
        <w:rPr>
          <w:color w:val="548DD4" w:themeColor="text2" w:themeTint="99"/>
        </w:rPr>
        <w:t xml:space="preserve">The </w:t>
      </w:r>
      <w:r w:rsidR="006C1FBC" w:rsidRPr="0025020E">
        <w:rPr>
          <w:color w:val="548DD4" w:themeColor="text2" w:themeTint="99"/>
        </w:rPr>
        <w:t>Lettings P</w:t>
      </w:r>
      <w:r w:rsidR="00A84AC3" w:rsidRPr="0025020E">
        <w:rPr>
          <w:color w:val="548DD4" w:themeColor="text2" w:themeTint="99"/>
        </w:rPr>
        <w:t>lan</w:t>
      </w:r>
      <w:r w:rsidRPr="0025020E">
        <w:rPr>
          <w:color w:val="548DD4" w:themeColor="text2" w:themeTint="99"/>
        </w:rPr>
        <w:t xml:space="preserve"> will be reviewed </w:t>
      </w:r>
      <w:r w:rsidR="00B60D9E" w:rsidRPr="0025020E">
        <w:rPr>
          <w:color w:val="548DD4" w:themeColor="text2" w:themeTint="99"/>
        </w:rPr>
        <w:t xml:space="preserve">in 12 months. </w:t>
      </w:r>
      <w:r w:rsidR="005F5693" w:rsidRPr="0025020E">
        <w:rPr>
          <w:color w:val="548DD4" w:themeColor="text2" w:themeTint="99"/>
        </w:rPr>
        <w:t>Curo will produce a report to summarise how close the actual lets match the aims of the local lettings plan.</w:t>
      </w:r>
    </w:p>
    <w:p w:rsidR="00A013FB" w:rsidRPr="0025020E" w:rsidRDefault="0068141A" w:rsidP="0068141A">
      <w:pPr>
        <w:pStyle w:val="Heading1"/>
        <w:rPr>
          <w:color w:val="548DD4" w:themeColor="text2" w:themeTint="99"/>
        </w:rPr>
      </w:pPr>
      <w:r w:rsidRPr="0025020E">
        <w:rPr>
          <w:color w:val="548DD4" w:themeColor="text2" w:themeTint="99"/>
        </w:rPr>
        <w:t>Equalities</w:t>
      </w:r>
    </w:p>
    <w:p w:rsidR="0068141A" w:rsidRPr="0025020E" w:rsidRDefault="0068141A" w:rsidP="0068141A">
      <w:pPr>
        <w:rPr>
          <w:color w:val="548DD4" w:themeColor="text2" w:themeTint="99"/>
        </w:rPr>
      </w:pPr>
      <w:r w:rsidRPr="0025020E">
        <w:rPr>
          <w:color w:val="548DD4" w:themeColor="text2" w:themeTint="99"/>
        </w:rPr>
        <w:t xml:space="preserve">All applicants will be considered individually.  </w:t>
      </w:r>
      <w:r w:rsidR="00640CAB" w:rsidRPr="0025020E">
        <w:rPr>
          <w:color w:val="548DD4" w:themeColor="text2" w:themeTint="99"/>
        </w:rPr>
        <w:t>Housing Services</w:t>
      </w:r>
      <w:r w:rsidR="00A15B3B" w:rsidRPr="0025020E">
        <w:rPr>
          <w:color w:val="548DD4" w:themeColor="text2" w:themeTint="99"/>
        </w:rPr>
        <w:t xml:space="preserve"> and Curo</w:t>
      </w:r>
      <w:r w:rsidRPr="0025020E">
        <w:rPr>
          <w:color w:val="548DD4" w:themeColor="text2" w:themeTint="99"/>
        </w:rPr>
        <w:t xml:space="preserve"> will comply with the Equality Act 2010 and </w:t>
      </w:r>
      <w:r w:rsidR="00FB7413" w:rsidRPr="0025020E">
        <w:rPr>
          <w:color w:val="548DD4" w:themeColor="text2" w:themeTint="99"/>
        </w:rPr>
        <w:t xml:space="preserve">provide </w:t>
      </w:r>
      <w:r w:rsidRPr="0025020E">
        <w:rPr>
          <w:color w:val="548DD4" w:themeColor="text2" w:themeTint="99"/>
        </w:rPr>
        <w:t xml:space="preserve">evidence </w:t>
      </w:r>
      <w:r w:rsidR="00FB7413" w:rsidRPr="0025020E">
        <w:rPr>
          <w:color w:val="548DD4" w:themeColor="text2" w:themeTint="99"/>
        </w:rPr>
        <w:t>for the</w:t>
      </w:r>
      <w:r w:rsidRPr="0025020E">
        <w:rPr>
          <w:color w:val="548DD4" w:themeColor="text2" w:themeTint="99"/>
        </w:rPr>
        <w:t xml:space="preserve"> reason for refusing a</w:t>
      </w:r>
      <w:r w:rsidR="00FB7413" w:rsidRPr="0025020E">
        <w:rPr>
          <w:color w:val="548DD4" w:themeColor="text2" w:themeTint="99"/>
        </w:rPr>
        <w:t>ccommodation to an applicant</w:t>
      </w:r>
      <w:r w:rsidRPr="0025020E">
        <w:rPr>
          <w:color w:val="548DD4" w:themeColor="text2" w:themeTint="99"/>
        </w:rPr>
        <w:t xml:space="preserve">.  </w:t>
      </w:r>
    </w:p>
    <w:p w:rsidR="0068141A" w:rsidRPr="0025020E" w:rsidRDefault="0068141A" w:rsidP="0068141A">
      <w:pPr>
        <w:pStyle w:val="Heading1"/>
        <w:rPr>
          <w:color w:val="548DD4" w:themeColor="text2" w:themeTint="99"/>
        </w:rPr>
      </w:pPr>
      <w:r w:rsidRPr="0025020E">
        <w:rPr>
          <w:color w:val="548DD4" w:themeColor="text2" w:themeTint="99"/>
        </w:rPr>
        <w:t>Important information</w:t>
      </w:r>
    </w:p>
    <w:p w:rsidR="0068141A" w:rsidRPr="0025020E" w:rsidRDefault="0068141A" w:rsidP="0068141A">
      <w:pPr>
        <w:spacing w:before="240"/>
        <w:rPr>
          <w:rFonts w:cs="Arial"/>
          <w:color w:val="548DD4" w:themeColor="text2" w:themeTint="99"/>
        </w:rPr>
      </w:pPr>
      <w:r w:rsidRPr="0025020E">
        <w:rPr>
          <w:color w:val="548DD4" w:themeColor="text2" w:themeTint="99"/>
        </w:rPr>
        <w:t xml:space="preserve">With the exception of the requirements of this Local Letting Plan, </w:t>
      </w:r>
      <w:r w:rsidR="00640CAB" w:rsidRPr="0025020E">
        <w:rPr>
          <w:color w:val="548DD4" w:themeColor="text2" w:themeTint="99"/>
        </w:rPr>
        <w:t>Housing Services</w:t>
      </w:r>
      <w:r w:rsidRPr="0025020E">
        <w:rPr>
          <w:color w:val="548DD4" w:themeColor="text2" w:themeTint="99"/>
        </w:rPr>
        <w:t xml:space="preserve"> </w:t>
      </w:r>
      <w:r w:rsidR="00A84AC3" w:rsidRPr="0025020E">
        <w:rPr>
          <w:color w:val="548DD4" w:themeColor="text2" w:themeTint="99"/>
        </w:rPr>
        <w:t>and Curo</w:t>
      </w:r>
      <w:r w:rsidRPr="0025020E">
        <w:rPr>
          <w:color w:val="548DD4" w:themeColor="text2" w:themeTint="99"/>
        </w:rPr>
        <w:t xml:space="preserve"> will comply with the Homesearch </w:t>
      </w:r>
      <w:r w:rsidR="00686FC0" w:rsidRPr="0025020E">
        <w:rPr>
          <w:color w:val="548DD4" w:themeColor="text2" w:themeTint="99"/>
        </w:rPr>
        <w:t>Allocation Scheme</w:t>
      </w:r>
      <w:r w:rsidRPr="0025020E">
        <w:rPr>
          <w:color w:val="548DD4" w:themeColor="text2" w:themeTint="99"/>
        </w:rPr>
        <w:t xml:space="preserve"> and </w:t>
      </w:r>
      <w:r w:rsidR="006E1C7F" w:rsidRPr="0025020E">
        <w:rPr>
          <w:color w:val="548DD4" w:themeColor="text2" w:themeTint="99"/>
        </w:rPr>
        <w:t>Nomination</w:t>
      </w:r>
      <w:r w:rsidRPr="0025020E">
        <w:rPr>
          <w:color w:val="548DD4" w:themeColor="text2" w:themeTint="99"/>
        </w:rPr>
        <w:t xml:space="preserve"> Agreement.</w:t>
      </w:r>
    </w:p>
    <w:p w:rsidR="00397137" w:rsidRPr="0025020E" w:rsidRDefault="00397137" w:rsidP="0068141A">
      <w:pPr>
        <w:rPr>
          <w:color w:val="548DD4" w:themeColor="text2" w:themeTint="99"/>
        </w:rPr>
      </w:pPr>
    </w:p>
    <w:p w:rsidR="00397137" w:rsidRPr="0025020E" w:rsidRDefault="00640CAB" w:rsidP="00397137">
      <w:pPr>
        <w:rPr>
          <w:color w:val="548DD4" w:themeColor="text2" w:themeTint="99"/>
        </w:rPr>
      </w:pPr>
      <w:r w:rsidRPr="0025020E">
        <w:rPr>
          <w:color w:val="548DD4" w:themeColor="text2" w:themeTint="99"/>
        </w:rPr>
        <w:lastRenderedPageBreak/>
        <w:t>Housing Services</w:t>
      </w:r>
      <w:r w:rsidR="00A15B3B" w:rsidRPr="0025020E">
        <w:rPr>
          <w:color w:val="548DD4" w:themeColor="text2" w:themeTint="99"/>
        </w:rPr>
        <w:t xml:space="preserve"> must ensure that this scheme does not dominate the Homesearch Allocation scheme and that overall, the scheme give</w:t>
      </w:r>
      <w:r w:rsidR="00FB7413" w:rsidRPr="0025020E">
        <w:rPr>
          <w:color w:val="548DD4" w:themeColor="text2" w:themeTint="99"/>
        </w:rPr>
        <w:t>s</w:t>
      </w:r>
      <w:r w:rsidR="00A15B3B" w:rsidRPr="0025020E">
        <w:rPr>
          <w:color w:val="548DD4" w:themeColor="text2" w:themeTint="99"/>
        </w:rPr>
        <w:t xml:space="preserve"> reasonable preference to those in the statutory reasonable preference categories</w:t>
      </w:r>
      <w:r w:rsidR="006D1665" w:rsidRPr="0025020E">
        <w:rPr>
          <w:color w:val="548DD4" w:themeColor="text2" w:themeTint="99"/>
        </w:rPr>
        <w:t>.</w:t>
      </w:r>
      <w:r w:rsidR="00A15B3B" w:rsidRPr="0025020E">
        <w:rPr>
          <w:color w:val="548DD4" w:themeColor="text2" w:themeTint="99"/>
        </w:rPr>
        <w:t xml:space="preserve"> </w:t>
      </w:r>
    </w:p>
    <w:p w:rsidR="00397137" w:rsidRPr="0025020E" w:rsidRDefault="00397137" w:rsidP="0068141A">
      <w:pPr>
        <w:rPr>
          <w:color w:val="548DD4" w:themeColor="text2" w:themeTint="99"/>
        </w:rPr>
      </w:pPr>
    </w:p>
    <w:sectPr w:rsidR="00397137" w:rsidRPr="0025020E" w:rsidSect="00666226">
      <w:headerReference w:type="even" r:id="rId17"/>
      <w:headerReference w:type="default" r:id="rId18"/>
      <w:headerReference w:type="first" r:id="rId19"/>
      <w:footerReference w:type="first" r:id="rId20"/>
      <w:pgSz w:w="11906" w:h="16838" w:code="9"/>
      <w:pgMar w:top="1440" w:right="748" w:bottom="1440" w:left="902"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BC" w:rsidRDefault="006C1FBC">
      <w:r>
        <w:separator/>
      </w:r>
    </w:p>
  </w:endnote>
  <w:endnote w:type="continuationSeparator" w:id="0">
    <w:p w:rsidR="006C1FBC" w:rsidRDefault="006C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BC" w:rsidRDefault="002E29C4">
    <w:pPr>
      <w:pStyle w:val="Foo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5pt;height:50.25pt">
          <v:imagedata r:id="rId1" o:title="cse 2"/>
        </v:shape>
      </w:pict>
    </w: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2058" type="#_x0000_t6" style="position:absolute;margin-left:437.05pt;margin-top:688.05pt;width:1in;height:1in;z-index:-251657728;mso-position-horizontal-relative:text;mso-position-vertical-relative:page" wrapcoords="-225 225 -225 21375 21600 21375 450 225 -225 225" fillcolor="#36f" stroked="f">
          <w10:wrap type="square" anchory="page"/>
        </v:shape>
      </w:pict>
    </w:r>
    <w:r>
      <w:rPr>
        <w:noProof/>
      </w:rPr>
      <w:pict>
        <v:rect id="_x0000_s2057" style="position:absolute;margin-left:-49.15pt;margin-top:760.05pt;width:621pt;height:85.9pt;z-index:-251658752;mso-position-horizontal-relative:text;mso-position-vertical-relative:page" wrapcoords="-26 0 -26 21412 21600 21412 21600 0 -26 0" fillcolor="#36f" stroked="f" strokecolor="blue">
          <w10:wrap type="square" anchory="page"/>
        </v:rect>
      </w:pict>
    </w:r>
    <w:r>
      <w:rPr>
        <w:noProof/>
      </w:rPr>
      <w:pict>
        <v:shapetype id="_x0000_t202" coordsize="21600,21600" o:spt="202" path="m,l,21600r21600,l21600,xe">
          <v:stroke joinstyle="miter"/>
          <v:path gradientshapeok="t" o:connecttype="rect"/>
        </v:shapetype>
        <v:shape id="_x0000_s2059" type="#_x0000_t202" style="position:absolute;margin-left:131.2pt;margin-top:778.2pt;width:386.7pt;height:54pt;z-index:251656704;mso-position-horizontal-relative:text;mso-position-vertical-relative:page" filled="f" stroked="f">
          <v:textbox style="mso-next-textbox:#_x0000_s2059">
            <w:txbxContent>
              <w:p w:rsidR="006C1FBC" w:rsidRPr="00601B91" w:rsidRDefault="006C1FBC" w:rsidP="00601B91">
                <w:pPr>
                  <w:rPr>
                    <w:rFonts w:cs="Arial"/>
                    <w:color w:val="FFFFFF"/>
                    <w:sz w:val="32"/>
                    <w:szCs w:val="28"/>
                  </w:rPr>
                </w:pPr>
                <w:r w:rsidRPr="00601B91">
                  <w:rPr>
                    <w:rFonts w:cs="Arial"/>
                    <w:color w:val="FFFFFF"/>
                    <w:sz w:val="32"/>
                    <w:szCs w:val="28"/>
                  </w:rPr>
                  <w:t>Creating mixed and sustainable communities</w:t>
                </w:r>
              </w:p>
              <w:p w:rsidR="006C1FBC" w:rsidRPr="00E171E1" w:rsidRDefault="006C1FBC" w:rsidP="00E171E1">
                <w:pPr>
                  <w:rPr>
                    <w:rFonts w:ascii="Helvetica" w:hAnsi="Helvetica" w:cs="Helvetica"/>
                    <w:color w:val="FFFFFF"/>
                    <w:sz w:val="28"/>
                    <w:szCs w:val="28"/>
                  </w:rPr>
                </w:pPr>
              </w:p>
            </w:txbxContent>
          </v:textbox>
          <w10:wrap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BC" w:rsidRDefault="006C1FBC">
      <w:r>
        <w:separator/>
      </w:r>
    </w:p>
  </w:footnote>
  <w:footnote w:type="continuationSeparator" w:id="0">
    <w:p w:rsidR="006C1FBC" w:rsidRDefault="006C1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B1" w:rsidRDefault="008854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B1" w:rsidRDefault="008854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BC" w:rsidRDefault="002E29C4" w:rsidP="006E229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3.25pt;height:64.5pt">
          <v:imagedata r:id="rId1" o:title="Logo bane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75"/>
    <w:multiLevelType w:val="hybridMultilevel"/>
    <w:tmpl w:val="571E9890"/>
    <w:lvl w:ilvl="0" w:tplc="0E7046AE">
      <w:start w:val="1"/>
      <w:numFmt w:val="bullet"/>
      <w:lvlText w:val=""/>
      <w:lvlJc w:val="left"/>
      <w:pPr>
        <w:ind w:left="720" w:hanging="360"/>
      </w:pPr>
      <w:rPr>
        <w:rFonts w:ascii="Symbol" w:hAnsi="Symbol" w:hint="default"/>
        <w:color w:val="668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A1D3A"/>
    <w:multiLevelType w:val="hybridMultilevel"/>
    <w:tmpl w:val="000C189E"/>
    <w:lvl w:ilvl="0" w:tplc="E06C34BC">
      <w:start w:val="1"/>
      <w:numFmt w:val="bullet"/>
      <w:lvlText w:val="•"/>
      <w:lvlJc w:val="left"/>
      <w:pPr>
        <w:tabs>
          <w:tab w:val="num" w:pos="720"/>
        </w:tabs>
        <w:ind w:left="720" w:hanging="360"/>
      </w:pPr>
      <w:rPr>
        <w:rFonts w:ascii="Times New Roman" w:hAnsi="Times New Roman" w:hint="default"/>
      </w:rPr>
    </w:lvl>
    <w:lvl w:ilvl="1" w:tplc="9C168DEE" w:tentative="1">
      <w:start w:val="1"/>
      <w:numFmt w:val="bullet"/>
      <w:lvlText w:val="•"/>
      <w:lvlJc w:val="left"/>
      <w:pPr>
        <w:tabs>
          <w:tab w:val="num" w:pos="1440"/>
        </w:tabs>
        <w:ind w:left="1440" w:hanging="360"/>
      </w:pPr>
      <w:rPr>
        <w:rFonts w:ascii="Times New Roman" w:hAnsi="Times New Roman" w:hint="default"/>
      </w:rPr>
    </w:lvl>
    <w:lvl w:ilvl="2" w:tplc="8BE4105E" w:tentative="1">
      <w:start w:val="1"/>
      <w:numFmt w:val="bullet"/>
      <w:lvlText w:val="•"/>
      <w:lvlJc w:val="left"/>
      <w:pPr>
        <w:tabs>
          <w:tab w:val="num" w:pos="2160"/>
        </w:tabs>
        <w:ind w:left="2160" w:hanging="360"/>
      </w:pPr>
      <w:rPr>
        <w:rFonts w:ascii="Times New Roman" w:hAnsi="Times New Roman" w:hint="default"/>
      </w:rPr>
    </w:lvl>
    <w:lvl w:ilvl="3" w:tplc="5A3659B4" w:tentative="1">
      <w:start w:val="1"/>
      <w:numFmt w:val="bullet"/>
      <w:lvlText w:val="•"/>
      <w:lvlJc w:val="left"/>
      <w:pPr>
        <w:tabs>
          <w:tab w:val="num" w:pos="2880"/>
        </w:tabs>
        <w:ind w:left="2880" w:hanging="360"/>
      </w:pPr>
      <w:rPr>
        <w:rFonts w:ascii="Times New Roman" w:hAnsi="Times New Roman" w:hint="default"/>
      </w:rPr>
    </w:lvl>
    <w:lvl w:ilvl="4" w:tplc="CEE0279A" w:tentative="1">
      <w:start w:val="1"/>
      <w:numFmt w:val="bullet"/>
      <w:lvlText w:val="•"/>
      <w:lvlJc w:val="left"/>
      <w:pPr>
        <w:tabs>
          <w:tab w:val="num" w:pos="3600"/>
        </w:tabs>
        <w:ind w:left="3600" w:hanging="360"/>
      </w:pPr>
      <w:rPr>
        <w:rFonts w:ascii="Times New Roman" w:hAnsi="Times New Roman" w:hint="default"/>
      </w:rPr>
    </w:lvl>
    <w:lvl w:ilvl="5" w:tplc="8C62174A" w:tentative="1">
      <w:start w:val="1"/>
      <w:numFmt w:val="bullet"/>
      <w:lvlText w:val="•"/>
      <w:lvlJc w:val="left"/>
      <w:pPr>
        <w:tabs>
          <w:tab w:val="num" w:pos="4320"/>
        </w:tabs>
        <w:ind w:left="4320" w:hanging="360"/>
      </w:pPr>
      <w:rPr>
        <w:rFonts w:ascii="Times New Roman" w:hAnsi="Times New Roman" w:hint="default"/>
      </w:rPr>
    </w:lvl>
    <w:lvl w:ilvl="6" w:tplc="EC38B084" w:tentative="1">
      <w:start w:val="1"/>
      <w:numFmt w:val="bullet"/>
      <w:lvlText w:val="•"/>
      <w:lvlJc w:val="left"/>
      <w:pPr>
        <w:tabs>
          <w:tab w:val="num" w:pos="5040"/>
        </w:tabs>
        <w:ind w:left="5040" w:hanging="360"/>
      </w:pPr>
      <w:rPr>
        <w:rFonts w:ascii="Times New Roman" w:hAnsi="Times New Roman" w:hint="default"/>
      </w:rPr>
    </w:lvl>
    <w:lvl w:ilvl="7" w:tplc="4D74BEAE" w:tentative="1">
      <w:start w:val="1"/>
      <w:numFmt w:val="bullet"/>
      <w:lvlText w:val="•"/>
      <w:lvlJc w:val="left"/>
      <w:pPr>
        <w:tabs>
          <w:tab w:val="num" w:pos="5760"/>
        </w:tabs>
        <w:ind w:left="5760" w:hanging="360"/>
      </w:pPr>
      <w:rPr>
        <w:rFonts w:ascii="Times New Roman" w:hAnsi="Times New Roman" w:hint="default"/>
      </w:rPr>
    </w:lvl>
    <w:lvl w:ilvl="8" w:tplc="BF7460F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AD53DE"/>
    <w:multiLevelType w:val="hybridMultilevel"/>
    <w:tmpl w:val="6CF6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B4731B"/>
    <w:multiLevelType w:val="hybridMultilevel"/>
    <w:tmpl w:val="6DACD3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4">
    <w:nsid w:val="23FD4D4D"/>
    <w:multiLevelType w:val="hybridMultilevel"/>
    <w:tmpl w:val="82C65B98"/>
    <w:lvl w:ilvl="0" w:tplc="4F3E6638">
      <w:start w:val="1"/>
      <w:numFmt w:val="bullet"/>
      <w:lvlText w:val="•"/>
      <w:lvlJc w:val="left"/>
      <w:pPr>
        <w:tabs>
          <w:tab w:val="num" w:pos="720"/>
        </w:tabs>
        <w:ind w:left="720" w:hanging="360"/>
      </w:pPr>
      <w:rPr>
        <w:rFonts w:ascii="Times New Roman" w:hAnsi="Times New Roman" w:hint="default"/>
      </w:rPr>
    </w:lvl>
    <w:lvl w:ilvl="1" w:tplc="CCCAF756" w:tentative="1">
      <w:start w:val="1"/>
      <w:numFmt w:val="bullet"/>
      <w:lvlText w:val="•"/>
      <w:lvlJc w:val="left"/>
      <w:pPr>
        <w:tabs>
          <w:tab w:val="num" w:pos="1440"/>
        </w:tabs>
        <w:ind w:left="1440" w:hanging="360"/>
      </w:pPr>
      <w:rPr>
        <w:rFonts w:ascii="Times New Roman" w:hAnsi="Times New Roman" w:hint="default"/>
      </w:rPr>
    </w:lvl>
    <w:lvl w:ilvl="2" w:tplc="5AB2E974" w:tentative="1">
      <w:start w:val="1"/>
      <w:numFmt w:val="bullet"/>
      <w:lvlText w:val="•"/>
      <w:lvlJc w:val="left"/>
      <w:pPr>
        <w:tabs>
          <w:tab w:val="num" w:pos="2160"/>
        </w:tabs>
        <w:ind w:left="2160" w:hanging="360"/>
      </w:pPr>
      <w:rPr>
        <w:rFonts w:ascii="Times New Roman" w:hAnsi="Times New Roman" w:hint="default"/>
      </w:rPr>
    </w:lvl>
    <w:lvl w:ilvl="3" w:tplc="94CAA75E" w:tentative="1">
      <w:start w:val="1"/>
      <w:numFmt w:val="bullet"/>
      <w:lvlText w:val="•"/>
      <w:lvlJc w:val="left"/>
      <w:pPr>
        <w:tabs>
          <w:tab w:val="num" w:pos="2880"/>
        </w:tabs>
        <w:ind w:left="2880" w:hanging="360"/>
      </w:pPr>
      <w:rPr>
        <w:rFonts w:ascii="Times New Roman" w:hAnsi="Times New Roman" w:hint="default"/>
      </w:rPr>
    </w:lvl>
    <w:lvl w:ilvl="4" w:tplc="3C248DCA" w:tentative="1">
      <w:start w:val="1"/>
      <w:numFmt w:val="bullet"/>
      <w:lvlText w:val="•"/>
      <w:lvlJc w:val="left"/>
      <w:pPr>
        <w:tabs>
          <w:tab w:val="num" w:pos="3600"/>
        </w:tabs>
        <w:ind w:left="3600" w:hanging="360"/>
      </w:pPr>
      <w:rPr>
        <w:rFonts w:ascii="Times New Roman" w:hAnsi="Times New Roman" w:hint="default"/>
      </w:rPr>
    </w:lvl>
    <w:lvl w:ilvl="5" w:tplc="2AD23036" w:tentative="1">
      <w:start w:val="1"/>
      <w:numFmt w:val="bullet"/>
      <w:lvlText w:val="•"/>
      <w:lvlJc w:val="left"/>
      <w:pPr>
        <w:tabs>
          <w:tab w:val="num" w:pos="4320"/>
        </w:tabs>
        <w:ind w:left="4320" w:hanging="360"/>
      </w:pPr>
      <w:rPr>
        <w:rFonts w:ascii="Times New Roman" w:hAnsi="Times New Roman" w:hint="default"/>
      </w:rPr>
    </w:lvl>
    <w:lvl w:ilvl="6" w:tplc="02D893C4" w:tentative="1">
      <w:start w:val="1"/>
      <w:numFmt w:val="bullet"/>
      <w:lvlText w:val="•"/>
      <w:lvlJc w:val="left"/>
      <w:pPr>
        <w:tabs>
          <w:tab w:val="num" w:pos="5040"/>
        </w:tabs>
        <w:ind w:left="5040" w:hanging="360"/>
      </w:pPr>
      <w:rPr>
        <w:rFonts w:ascii="Times New Roman" w:hAnsi="Times New Roman" w:hint="default"/>
      </w:rPr>
    </w:lvl>
    <w:lvl w:ilvl="7" w:tplc="751AE9A2" w:tentative="1">
      <w:start w:val="1"/>
      <w:numFmt w:val="bullet"/>
      <w:lvlText w:val="•"/>
      <w:lvlJc w:val="left"/>
      <w:pPr>
        <w:tabs>
          <w:tab w:val="num" w:pos="5760"/>
        </w:tabs>
        <w:ind w:left="5760" w:hanging="360"/>
      </w:pPr>
      <w:rPr>
        <w:rFonts w:ascii="Times New Roman" w:hAnsi="Times New Roman" w:hint="default"/>
      </w:rPr>
    </w:lvl>
    <w:lvl w:ilvl="8" w:tplc="91E0A08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7EA4113"/>
    <w:multiLevelType w:val="hybridMultilevel"/>
    <w:tmpl w:val="78083488"/>
    <w:lvl w:ilvl="0" w:tplc="94EEEF7E">
      <w:start w:val="1"/>
      <w:numFmt w:val="bullet"/>
      <w:lvlText w:val="•"/>
      <w:lvlJc w:val="left"/>
      <w:pPr>
        <w:tabs>
          <w:tab w:val="num" w:pos="720"/>
        </w:tabs>
        <w:ind w:left="720" w:hanging="360"/>
      </w:pPr>
      <w:rPr>
        <w:rFonts w:ascii="Times New Roman" w:hAnsi="Times New Roman" w:hint="default"/>
      </w:rPr>
    </w:lvl>
    <w:lvl w:ilvl="1" w:tplc="60E6B8C0" w:tentative="1">
      <w:start w:val="1"/>
      <w:numFmt w:val="bullet"/>
      <w:lvlText w:val="•"/>
      <w:lvlJc w:val="left"/>
      <w:pPr>
        <w:tabs>
          <w:tab w:val="num" w:pos="1440"/>
        </w:tabs>
        <w:ind w:left="1440" w:hanging="360"/>
      </w:pPr>
      <w:rPr>
        <w:rFonts w:ascii="Times New Roman" w:hAnsi="Times New Roman" w:hint="default"/>
      </w:rPr>
    </w:lvl>
    <w:lvl w:ilvl="2" w:tplc="0FE0813C" w:tentative="1">
      <w:start w:val="1"/>
      <w:numFmt w:val="bullet"/>
      <w:lvlText w:val="•"/>
      <w:lvlJc w:val="left"/>
      <w:pPr>
        <w:tabs>
          <w:tab w:val="num" w:pos="2160"/>
        </w:tabs>
        <w:ind w:left="2160" w:hanging="360"/>
      </w:pPr>
      <w:rPr>
        <w:rFonts w:ascii="Times New Roman" w:hAnsi="Times New Roman" w:hint="default"/>
      </w:rPr>
    </w:lvl>
    <w:lvl w:ilvl="3" w:tplc="634CB0E6" w:tentative="1">
      <w:start w:val="1"/>
      <w:numFmt w:val="bullet"/>
      <w:lvlText w:val="•"/>
      <w:lvlJc w:val="left"/>
      <w:pPr>
        <w:tabs>
          <w:tab w:val="num" w:pos="2880"/>
        </w:tabs>
        <w:ind w:left="2880" w:hanging="360"/>
      </w:pPr>
      <w:rPr>
        <w:rFonts w:ascii="Times New Roman" w:hAnsi="Times New Roman" w:hint="default"/>
      </w:rPr>
    </w:lvl>
    <w:lvl w:ilvl="4" w:tplc="0C36E52E" w:tentative="1">
      <w:start w:val="1"/>
      <w:numFmt w:val="bullet"/>
      <w:lvlText w:val="•"/>
      <w:lvlJc w:val="left"/>
      <w:pPr>
        <w:tabs>
          <w:tab w:val="num" w:pos="3600"/>
        </w:tabs>
        <w:ind w:left="3600" w:hanging="360"/>
      </w:pPr>
      <w:rPr>
        <w:rFonts w:ascii="Times New Roman" w:hAnsi="Times New Roman" w:hint="default"/>
      </w:rPr>
    </w:lvl>
    <w:lvl w:ilvl="5" w:tplc="9F7828E8" w:tentative="1">
      <w:start w:val="1"/>
      <w:numFmt w:val="bullet"/>
      <w:lvlText w:val="•"/>
      <w:lvlJc w:val="left"/>
      <w:pPr>
        <w:tabs>
          <w:tab w:val="num" w:pos="4320"/>
        </w:tabs>
        <w:ind w:left="4320" w:hanging="360"/>
      </w:pPr>
      <w:rPr>
        <w:rFonts w:ascii="Times New Roman" w:hAnsi="Times New Roman" w:hint="default"/>
      </w:rPr>
    </w:lvl>
    <w:lvl w:ilvl="6" w:tplc="B0E0F042" w:tentative="1">
      <w:start w:val="1"/>
      <w:numFmt w:val="bullet"/>
      <w:lvlText w:val="•"/>
      <w:lvlJc w:val="left"/>
      <w:pPr>
        <w:tabs>
          <w:tab w:val="num" w:pos="5040"/>
        </w:tabs>
        <w:ind w:left="5040" w:hanging="360"/>
      </w:pPr>
      <w:rPr>
        <w:rFonts w:ascii="Times New Roman" w:hAnsi="Times New Roman" w:hint="default"/>
      </w:rPr>
    </w:lvl>
    <w:lvl w:ilvl="7" w:tplc="C1EE5476" w:tentative="1">
      <w:start w:val="1"/>
      <w:numFmt w:val="bullet"/>
      <w:lvlText w:val="•"/>
      <w:lvlJc w:val="left"/>
      <w:pPr>
        <w:tabs>
          <w:tab w:val="num" w:pos="5760"/>
        </w:tabs>
        <w:ind w:left="5760" w:hanging="360"/>
      </w:pPr>
      <w:rPr>
        <w:rFonts w:ascii="Times New Roman" w:hAnsi="Times New Roman" w:hint="default"/>
      </w:rPr>
    </w:lvl>
    <w:lvl w:ilvl="8" w:tplc="924E3852" w:tentative="1">
      <w:start w:val="1"/>
      <w:numFmt w:val="bullet"/>
      <w:lvlText w:val="•"/>
      <w:lvlJc w:val="left"/>
      <w:pPr>
        <w:tabs>
          <w:tab w:val="num" w:pos="6480"/>
        </w:tabs>
        <w:ind w:left="6480" w:hanging="360"/>
      </w:pPr>
      <w:rPr>
        <w:rFonts w:ascii="Times New Roman" w:hAnsi="Times New Roman" w:hint="default"/>
      </w:rPr>
    </w:lvl>
  </w:abstractNum>
  <w:abstractNum w:abstractNumId="6">
    <w:nsid w:val="4EAE3193"/>
    <w:multiLevelType w:val="hybridMultilevel"/>
    <w:tmpl w:val="C14AE55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0F1B90"/>
    <w:multiLevelType w:val="hybridMultilevel"/>
    <w:tmpl w:val="30385D2A"/>
    <w:lvl w:ilvl="0" w:tplc="9488A6C0">
      <w:start w:val="1"/>
      <w:numFmt w:val="bullet"/>
      <w:lvlText w:val="•"/>
      <w:lvlJc w:val="left"/>
      <w:pPr>
        <w:tabs>
          <w:tab w:val="num" w:pos="720"/>
        </w:tabs>
        <w:ind w:left="720" w:hanging="360"/>
      </w:pPr>
      <w:rPr>
        <w:rFonts w:ascii="Times New Roman" w:hAnsi="Times New Roman" w:hint="default"/>
      </w:rPr>
    </w:lvl>
    <w:lvl w:ilvl="1" w:tplc="AF2A593C" w:tentative="1">
      <w:start w:val="1"/>
      <w:numFmt w:val="bullet"/>
      <w:lvlText w:val="•"/>
      <w:lvlJc w:val="left"/>
      <w:pPr>
        <w:tabs>
          <w:tab w:val="num" w:pos="1440"/>
        </w:tabs>
        <w:ind w:left="1440" w:hanging="360"/>
      </w:pPr>
      <w:rPr>
        <w:rFonts w:ascii="Times New Roman" w:hAnsi="Times New Roman" w:hint="default"/>
      </w:rPr>
    </w:lvl>
    <w:lvl w:ilvl="2" w:tplc="DDC0C798" w:tentative="1">
      <w:start w:val="1"/>
      <w:numFmt w:val="bullet"/>
      <w:lvlText w:val="•"/>
      <w:lvlJc w:val="left"/>
      <w:pPr>
        <w:tabs>
          <w:tab w:val="num" w:pos="2160"/>
        </w:tabs>
        <w:ind w:left="2160" w:hanging="360"/>
      </w:pPr>
      <w:rPr>
        <w:rFonts w:ascii="Times New Roman" w:hAnsi="Times New Roman" w:hint="default"/>
      </w:rPr>
    </w:lvl>
    <w:lvl w:ilvl="3" w:tplc="9F82D3DE" w:tentative="1">
      <w:start w:val="1"/>
      <w:numFmt w:val="bullet"/>
      <w:lvlText w:val="•"/>
      <w:lvlJc w:val="left"/>
      <w:pPr>
        <w:tabs>
          <w:tab w:val="num" w:pos="2880"/>
        </w:tabs>
        <w:ind w:left="2880" w:hanging="360"/>
      </w:pPr>
      <w:rPr>
        <w:rFonts w:ascii="Times New Roman" w:hAnsi="Times New Roman" w:hint="default"/>
      </w:rPr>
    </w:lvl>
    <w:lvl w:ilvl="4" w:tplc="89C49018" w:tentative="1">
      <w:start w:val="1"/>
      <w:numFmt w:val="bullet"/>
      <w:lvlText w:val="•"/>
      <w:lvlJc w:val="left"/>
      <w:pPr>
        <w:tabs>
          <w:tab w:val="num" w:pos="3600"/>
        </w:tabs>
        <w:ind w:left="3600" w:hanging="360"/>
      </w:pPr>
      <w:rPr>
        <w:rFonts w:ascii="Times New Roman" w:hAnsi="Times New Roman" w:hint="default"/>
      </w:rPr>
    </w:lvl>
    <w:lvl w:ilvl="5" w:tplc="7ECCF5D8" w:tentative="1">
      <w:start w:val="1"/>
      <w:numFmt w:val="bullet"/>
      <w:lvlText w:val="•"/>
      <w:lvlJc w:val="left"/>
      <w:pPr>
        <w:tabs>
          <w:tab w:val="num" w:pos="4320"/>
        </w:tabs>
        <w:ind w:left="4320" w:hanging="360"/>
      </w:pPr>
      <w:rPr>
        <w:rFonts w:ascii="Times New Roman" w:hAnsi="Times New Roman" w:hint="default"/>
      </w:rPr>
    </w:lvl>
    <w:lvl w:ilvl="6" w:tplc="298EB59C" w:tentative="1">
      <w:start w:val="1"/>
      <w:numFmt w:val="bullet"/>
      <w:lvlText w:val="•"/>
      <w:lvlJc w:val="left"/>
      <w:pPr>
        <w:tabs>
          <w:tab w:val="num" w:pos="5040"/>
        </w:tabs>
        <w:ind w:left="5040" w:hanging="360"/>
      </w:pPr>
      <w:rPr>
        <w:rFonts w:ascii="Times New Roman" w:hAnsi="Times New Roman" w:hint="default"/>
      </w:rPr>
    </w:lvl>
    <w:lvl w:ilvl="7" w:tplc="B366FFEC" w:tentative="1">
      <w:start w:val="1"/>
      <w:numFmt w:val="bullet"/>
      <w:lvlText w:val="•"/>
      <w:lvlJc w:val="left"/>
      <w:pPr>
        <w:tabs>
          <w:tab w:val="num" w:pos="5760"/>
        </w:tabs>
        <w:ind w:left="5760" w:hanging="360"/>
      </w:pPr>
      <w:rPr>
        <w:rFonts w:ascii="Times New Roman" w:hAnsi="Times New Roman" w:hint="default"/>
      </w:rPr>
    </w:lvl>
    <w:lvl w:ilvl="8" w:tplc="BF0A9A10" w:tentative="1">
      <w:start w:val="1"/>
      <w:numFmt w:val="bullet"/>
      <w:lvlText w:val="•"/>
      <w:lvlJc w:val="left"/>
      <w:pPr>
        <w:tabs>
          <w:tab w:val="num" w:pos="6480"/>
        </w:tabs>
        <w:ind w:left="6480" w:hanging="360"/>
      </w:pPr>
      <w:rPr>
        <w:rFonts w:ascii="Times New Roman" w:hAnsi="Times New Roman" w:hint="default"/>
      </w:rPr>
    </w:lvl>
  </w:abstractNum>
  <w:abstractNum w:abstractNumId="8">
    <w:nsid w:val="648750B4"/>
    <w:multiLevelType w:val="hybridMultilevel"/>
    <w:tmpl w:val="63CADAF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4"/>
  </w:num>
  <w:num w:numId="3">
    <w:abstractNumId w:val="0"/>
  </w:num>
  <w:num w:numId="4">
    <w:abstractNumId w:val="5"/>
  </w:num>
  <w:num w:numId="5">
    <w:abstractNumId w:val="2"/>
  </w:num>
  <w:num w:numId="6">
    <w:abstractNumId w:val="6"/>
  </w:num>
  <w:num w:numId="7">
    <w:abstractNumId w:val="1"/>
  </w:num>
  <w:num w:numId="8">
    <w:abstractNumId w:val="8"/>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8BD"/>
    <w:rsid w:val="00012D34"/>
    <w:rsid w:val="00070213"/>
    <w:rsid w:val="000750F2"/>
    <w:rsid w:val="000C7254"/>
    <w:rsid w:val="000E631F"/>
    <w:rsid w:val="000F1BF9"/>
    <w:rsid w:val="000F35A4"/>
    <w:rsid w:val="00140036"/>
    <w:rsid w:val="0019461B"/>
    <w:rsid w:val="001B2107"/>
    <w:rsid w:val="001B7426"/>
    <w:rsid w:val="001D4396"/>
    <w:rsid w:val="001F2311"/>
    <w:rsid w:val="00206257"/>
    <w:rsid w:val="0025020E"/>
    <w:rsid w:val="002652DE"/>
    <w:rsid w:val="002E29C4"/>
    <w:rsid w:val="002F5304"/>
    <w:rsid w:val="00310595"/>
    <w:rsid w:val="003120DD"/>
    <w:rsid w:val="003200CF"/>
    <w:rsid w:val="00322CB6"/>
    <w:rsid w:val="003273B8"/>
    <w:rsid w:val="003472C2"/>
    <w:rsid w:val="00397137"/>
    <w:rsid w:val="003A13E2"/>
    <w:rsid w:val="003A5456"/>
    <w:rsid w:val="003B1A19"/>
    <w:rsid w:val="00411886"/>
    <w:rsid w:val="00434312"/>
    <w:rsid w:val="00493D6D"/>
    <w:rsid w:val="004A6318"/>
    <w:rsid w:val="004B6AA9"/>
    <w:rsid w:val="004F1CDE"/>
    <w:rsid w:val="005503D0"/>
    <w:rsid w:val="005547D0"/>
    <w:rsid w:val="00580592"/>
    <w:rsid w:val="005A1820"/>
    <w:rsid w:val="005A620A"/>
    <w:rsid w:val="005D0FC5"/>
    <w:rsid w:val="005E68FB"/>
    <w:rsid w:val="005F5693"/>
    <w:rsid w:val="00601B91"/>
    <w:rsid w:val="006131AA"/>
    <w:rsid w:val="00634BAE"/>
    <w:rsid w:val="00640CAB"/>
    <w:rsid w:val="00666226"/>
    <w:rsid w:val="006674AA"/>
    <w:rsid w:val="0068141A"/>
    <w:rsid w:val="00686FC0"/>
    <w:rsid w:val="006C1FBC"/>
    <w:rsid w:val="006C68C2"/>
    <w:rsid w:val="006D1665"/>
    <w:rsid w:val="006D31AC"/>
    <w:rsid w:val="006E1C7F"/>
    <w:rsid w:val="006E229D"/>
    <w:rsid w:val="006E3AE0"/>
    <w:rsid w:val="007D36DA"/>
    <w:rsid w:val="007D7410"/>
    <w:rsid w:val="008108EB"/>
    <w:rsid w:val="0085016B"/>
    <w:rsid w:val="008518BD"/>
    <w:rsid w:val="00866F52"/>
    <w:rsid w:val="008851D2"/>
    <w:rsid w:val="008854B1"/>
    <w:rsid w:val="008C4950"/>
    <w:rsid w:val="008E1882"/>
    <w:rsid w:val="008E2373"/>
    <w:rsid w:val="00914AAE"/>
    <w:rsid w:val="009A1220"/>
    <w:rsid w:val="00A013FB"/>
    <w:rsid w:val="00A15B3B"/>
    <w:rsid w:val="00A207D6"/>
    <w:rsid w:val="00A233EA"/>
    <w:rsid w:val="00A23D5D"/>
    <w:rsid w:val="00A35F6E"/>
    <w:rsid w:val="00A77CD2"/>
    <w:rsid w:val="00A84858"/>
    <w:rsid w:val="00A84AC3"/>
    <w:rsid w:val="00AA7D84"/>
    <w:rsid w:val="00AD6F39"/>
    <w:rsid w:val="00B040D4"/>
    <w:rsid w:val="00B15BC7"/>
    <w:rsid w:val="00B306EA"/>
    <w:rsid w:val="00B33CF4"/>
    <w:rsid w:val="00B52B88"/>
    <w:rsid w:val="00B60D9E"/>
    <w:rsid w:val="00B67EFC"/>
    <w:rsid w:val="00B96A1E"/>
    <w:rsid w:val="00BB22A8"/>
    <w:rsid w:val="00BC7D57"/>
    <w:rsid w:val="00C02C48"/>
    <w:rsid w:val="00C103F6"/>
    <w:rsid w:val="00C2150F"/>
    <w:rsid w:val="00CB4AD3"/>
    <w:rsid w:val="00CD5592"/>
    <w:rsid w:val="00D02382"/>
    <w:rsid w:val="00D673CB"/>
    <w:rsid w:val="00D924D3"/>
    <w:rsid w:val="00E171E1"/>
    <w:rsid w:val="00EC0865"/>
    <w:rsid w:val="00F00979"/>
    <w:rsid w:val="00F03653"/>
    <w:rsid w:val="00F321BD"/>
    <w:rsid w:val="00FA0DCD"/>
    <w:rsid w:val="00FB7413"/>
    <w:rsid w:val="00FC7AEE"/>
    <w:rsid w:val="00FE4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FB"/>
    <w:rPr>
      <w:rFonts w:ascii="Arial" w:hAnsi="Arial"/>
      <w:sz w:val="24"/>
      <w:szCs w:val="24"/>
    </w:rPr>
  </w:style>
  <w:style w:type="paragraph" w:styleId="Heading1">
    <w:name w:val="heading 1"/>
    <w:basedOn w:val="Normal"/>
    <w:next w:val="Normal"/>
    <w:link w:val="Heading1Char"/>
    <w:uiPriority w:val="9"/>
    <w:qFormat/>
    <w:rsid w:val="0068141A"/>
    <w:pPr>
      <w:keepNext/>
      <w:pBdr>
        <w:bottom w:val="single" w:sz="4" w:space="1" w:color="FFFFFF"/>
      </w:pBdr>
      <w:spacing w:before="360" w:after="180"/>
      <w:outlineLvl w:val="0"/>
    </w:pPr>
    <w:rPr>
      <w:bCs/>
      <w:color w:val="4F81BD"/>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13FB"/>
    <w:pPr>
      <w:tabs>
        <w:tab w:val="center" w:pos="4153"/>
        <w:tab w:val="right" w:pos="8306"/>
      </w:tabs>
    </w:pPr>
  </w:style>
  <w:style w:type="paragraph" w:styleId="Footer">
    <w:name w:val="footer"/>
    <w:basedOn w:val="Normal"/>
    <w:rsid w:val="00A013FB"/>
    <w:pPr>
      <w:tabs>
        <w:tab w:val="center" w:pos="4153"/>
        <w:tab w:val="right" w:pos="8306"/>
      </w:tabs>
    </w:pPr>
  </w:style>
  <w:style w:type="paragraph" w:styleId="NoSpacing">
    <w:name w:val="No Spacing"/>
    <w:link w:val="NoSpacingChar"/>
    <w:uiPriority w:val="1"/>
    <w:qFormat/>
    <w:rsid w:val="00666226"/>
    <w:rPr>
      <w:rFonts w:ascii="Calibri" w:eastAsia="MS Mincho" w:hAnsi="Calibri" w:cs="Arial"/>
      <w:sz w:val="22"/>
      <w:szCs w:val="22"/>
      <w:lang w:val="en-US" w:eastAsia="ja-JP"/>
    </w:rPr>
  </w:style>
  <w:style w:type="character" w:customStyle="1" w:styleId="NoSpacingChar">
    <w:name w:val="No Spacing Char"/>
    <w:link w:val="NoSpacing"/>
    <w:uiPriority w:val="1"/>
    <w:rsid w:val="00666226"/>
    <w:rPr>
      <w:rFonts w:ascii="Calibri" w:eastAsia="MS Mincho" w:hAnsi="Calibri" w:cs="Arial"/>
      <w:sz w:val="22"/>
      <w:szCs w:val="22"/>
      <w:lang w:val="en-US" w:eastAsia="ja-JP"/>
    </w:rPr>
  </w:style>
  <w:style w:type="paragraph" w:styleId="BalloonText">
    <w:name w:val="Balloon Text"/>
    <w:basedOn w:val="Normal"/>
    <w:link w:val="BalloonTextChar"/>
    <w:uiPriority w:val="99"/>
    <w:semiHidden/>
    <w:unhideWhenUsed/>
    <w:rsid w:val="00666226"/>
    <w:rPr>
      <w:rFonts w:ascii="Tahoma" w:hAnsi="Tahoma" w:cs="Tahoma"/>
      <w:sz w:val="16"/>
      <w:szCs w:val="16"/>
    </w:rPr>
  </w:style>
  <w:style w:type="character" w:customStyle="1" w:styleId="BalloonTextChar">
    <w:name w:val="Balloon Text Char"/>
    <w:link w:val="BalloonText"/>
    <w:uiPriority w:val="99"/>
    <w:semiHidden/>
    <w:rsid w:val="00666226"/>
    <w:rPr>
      <w:rFonts w:ascii="Tahoma" w:hAnsi="Tahoma" w:cs="Tahoma"/>
      <w:sz w:val="16"/>
      <w:szCs w:val="16"/>
    </w:rPr>
  </w:style>
  <w:style w:type="character" w:styleId="Hyperlink">
    <w:name w:val="Hyperlink"/>
    <w:uiPriority w:val="99"/>
    <w:rsid w:val="003120DD"/>
    <w:rPr>
      <w:color w:val="0000FF"/>
      <w:u w:val="single"/>
    </w:rPr>
  </w:style>
  <w:style w:type="character" w:customStyle="1" w:styleId="Heading1Char">
    <w:name w:val="Heading 1 Char"/>
    <w:link w:val="Heading1"/>
    <w:uiPriority w:val="9"/>
    <w:rsid w:val="0068141A"/>
    <w:rPr>
      <w:rFonts w:ascii="Arial" w:hAnsi="Arial"/>
      <w:bCs/>
      <w:color w:val="4F81BD"/>
      <w:kern w:val="32"/>
      <w:sz w:val="32"/>
      <w:szCs w:val="32"/>
    </w:rPr>
  </w:style>
  <w:style w:type="paragraph" w:styleId="ListParagraph">
    <w:name w:val="List Paragraph"/>
    <w:basedOn w:val="Normal"/>
    <w:uiPriority w:val="34"/>
    <w:qFormat/>
    <w:rsid w:val="00411886"/>
    <w:pPr>
      <w:ind w:left="720"/>
    </w:pPr>
    <w:rPr>
      <w:sz w:val="22"/>
      <w:szCs w:val="22"/>
    </w:rPr>
  </w:style>
  <w:style w:type="table" w:styleId="TableGrid">
    <w:name w:val="Table Grid"/>
    <w:basedOn w:val="TableNormal"/>
    <w:uiPriority w:val="59"/>
    <w:rsid w:val="003A1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A23D5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1523">
      <w:bodyDiv w:val="1"/>
      <w:marLeft w:val="0"/>
      <w:marRight w:val="0"/>
      <w:marTop w:val="0"/>
      <w:marBottom w:val="0"/>
      <w:divBdr>
        <w:top w:val="none" w:sz="0" w:space="0" w:color="auto"/>
        <w:left w:val="none" w:sz="0" w:space="0" w:color="auto"/>
        <w:bottom w:val="none" w:sz="0" w:space="0" w:color="auto"/>
        <w:right w:val="none" w:sz="0" w:space="0" w:color="auto"/>
      </w:divBdr>
    </w:div>
    <w:div w:id="388194400">
      <w:bodyDiv w:val="1"/>
      <w:marLeft w:val="0"/>
      <w:marRight w:val="0"/>
      <w:marTop w:val="0"/>
      <w:marBottom w:val="0"/>
      <w:divBdr>
        <w:top w:val="none" w:sz="0" w:space="0" w:color="auto"/>
        <w:left w:val="none" w:sz="0" w:space="0" w:color="auto"/>
        <w:bottom w:val="none" w:sz="0" w:space="0" w:color="auto"/>
        <w:right w:val="none" w:sz="0" w:space="0" w:color="auto"/>
      </w:divBdr>
      <w:divsChild>
        <w:div w:id="59450813">
          <w:marLeft w:val="547"/>
          <w:marRight w:val="0"/>
          <w:marTop w:val="0"/>
          <w:marBottom w:val="0"/>
          <w:divBdr>
            <w:top w:val="none" w:sz="0" w:space="0" w:color="auto"/>
            <w:left w:val="none" w:sz="0" w:space="0" w:color="auto"/>
            <w:bottom w:val="none" w:sz="0" w:space="0" w:color="auto"/>
            <w:right w:val="none" w:sz="0" w:space="0" w:color="auto"/>
          </w:divBdr>
        </w:div>
        <w:div w:id="586572144">
          <w:marLeft w:val="547"/>
          <w:marRight w:val="0"/>
          <w:marTop w:val="0"/>
          <w:marBottom w:val="0"/>
          <w:divBdr>
            <w:top w:val="none" w:sz="0" w:space="0" w:color="auto"/>
            <w:left w:val="none" w:sz="0" w:space="0" w:color="auto"/>
            <w:bottom w:val="none" w:sz="0" w:space="0" w:color="auto"/>
            <w:right w:val="none" w:sz="0" w:space="0" w:color="auto"/>
          </w:divBdr>
        </w:div>
        <w:div w:id="1904218881">
          <w:marLeft w:val="547"/>
          <w:marRight w:val="0"/>
          <w:marTop w:val="0"/>
          <w:marBottom w:val="0"/>
          <w:divBdr>
            <w:top w:val="none" w:sz="0" w:space="0" w:color="auto"/>
            <w:left w:val="none" w:sz="0" w:space="0" w:color="auto"/>
            <w:bottom w:val="none" w:sz="0" w:space="0" w:color="auto"/>
            <w:right w:val="none" w:sz="0" w:space="0" w:color="auto"/>
          </w:divBdr>
        </w:div>
      </w:divsChild>
    </w:div>
    <w:div w:id="697662635">
      <w:bodyDiv w:val="1"/>
      <w:marLeft w:val="0"/>
      <w:marRight w:val="0"/>
      <w:marTop w:val="0"/>
      <w:marBottom w:val="0"/>
      <w:divBdr>
        <w:top w:val="none" w:sz="0" w:space="0" w:color="auto"/>
        <w:left w:val="none" w:sz="0" w:space="0" w:color="auto"/>
        <w:bottom w:val="none" w:sz="0" w:space="0" w:color="auto"/>
        <w:right w:val="none" w:sz="0" w:space="0" w:color="auto"/>
      </w:divBdr>
      <w:divsChild>
        <w:div w:id="1550150001">
          <w:marLeft w:val="547"/>
          <w:marRight w:val="0"/>
          <w:marTop w:val="0"/>
          <w:marBottom w:val="0"/>
          <w:divBdr>
            <w:top w:val="none" w:sz="0" w:space="0" w:color="auto"/>
            <w:left w:val="none" w:sz="0" w:space="0" w:color="auto"/>
            <w:bottom w:val="none" w:sz="0" w:space="0" w:color="auto"/>
            <w:right w:val="none" w:sz="0" w:space="0" w:color="auto"/>
          </w:divBdr>
        </w:div>
      </w:divsChild>
    </w:div>
    <w:div w:id="1114010381">
      <w:bodyDiv w:val="1"/>
      <w:marLeft w:val="0"/>
      <w:marRight w:val="0"/>
      <w:marTop w:val="0"/>
      <w:marBottom w:val="0"/>
      <w:divBdr>
        <w:top w:val="none" w:sz="0" w:space="0" w:color="auto"/>
        <w:left w:val="none" w:sz="0" w:space="0" w:color="auto"/>
        <w:bottom w:val="none" w:sz="0" w:space="0" w:color="auto"/>
        <w:right w:val="none" w:sz="0" w:space="0" w:color="auto"/>
      </w:divBdr>
      <w:divsChild>
        <w:div w:id="2145613417">
          <w:marLeft w:val="547"/>
          <w:marRight w:val="0"/>
          <w:marTop w:val="0"/>
          <w:marBottom w:val="0"/>
          <w:divBdr>
            <w:top w:val="none" w:sz="0" w:space="0" w:color="auto"/>
            <w:left w:val="none" w:sz="0" w:space="0" w:color="auto"/>
            <w:bottom w:val="none" w:sz="0" w:space="0" w:color="auto"/>
            <w:right w:val="none" w:sz="0" w:space="0" w:color="auto"/>
          </w:divBdr>
        </w:div>
      </w:divsChild>
    </w:div>
    <w:div w:id="1372730935">
      <w:bodyDiv w:val="1"/>
      <w:marLeft w:val="0"/>
      <w:marRight w:val="0"/>
      <w:marTop w:val="0"/>
      <w:marBottom w:val="0"/>
      <w:divBdr>
        <w:top w:val="none" w:sz="0" w:space="0" w:color="auto"/>
        <w:left w:val="none" w:sz="0" w:space="0" w:color="auto"/>
        <w:bottom w:val="none" w:sz="0" w:space="0" w:color="auto"/>
        <w:right w:val="none" w:sz="0" w:space="0" w:color="auto"/>
      </w:divBdr>
      <w:divsChild>
        <w:div w:id="1008480398">
          <w:marLeft w:val="547"/>
          <w:marRight w:val="0"/>
          <w:marTop w:val="0"/>
          <w:marBottom w:val="0"/>
          <w:divBdr>
            <w:top w:val="none" w:sz="0" w:space="0" w:color="auto"/>
            <w:left w:val="none" w:sz="0" w:space="0" w:color="auto"/>
            <w:bottom w:val="none" w:sz="0" w:space="0" w:color="auto"/>
            <w:right w:val="none" w:sz="0" w:space="0" w:color="auto"/>
          </w:divBdr>
        </w:div>
      </w:divsChild>
    </w:div>
    <w:div w:id="20087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Curo-Group.co.uk"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omesearchbathne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mesearchbathnes.org.uk" TargetMode="Externa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yperlink" Target="mailto:Homesearch@Bathnes.gov.uk"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urogroup.co.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C799C0-FC17-49DF-BB58-4AB188A5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45B60A71</Template>
  <TotalTime>1</TotalTime>
  <Pages>5</Pages>
  <Words>840</Words>
  <Characters>4788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Enter site name</vt:lpstr>
    </vt:vector>
  </TitlesOfParts>
  <Company>Housing Services Local Letting Plan</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site name</dc:title>
  <dc:subject>A local letting policy is an agreement between the local authority and a registered provider.  It decides how properties will be allocated in certain defined geographical areas.  Local lettings policies will only be used in exceptional circumstances, to meet specific local issues within an area.</dc:subject>
  <dc:creator>For [enter site name]</dc:creator>
  <cp:lastModifiedBy>carvers</cp:lastModifiedBy>
  <cp:revision>2</cp:revision>
  <cp:lastPrinted>2014-09-08T14:53:00Z</cp:lastPrinted>
  <dcterms:created xsi:type="dcterms:W3CDTF">2016-09-05T14:46:00Z</dcterms:created>
  <dcterms:modified xsi:type="dcterms:W3CDTF">2016-09-05T14:46:00Z</dcterms:modified>
</cp:coreProperties>
</file>